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2BDD" w14:textId="77777777" w:rsidR="00670002" w:rsidRPr="00A207AF" w:rsidRDefault="00670002" w:rsidP="00670002">
      <w:pPr>
        <w:autoSpaceDE w:val="0"/>
        <w:autoSpaceDN w:val="0"/>
        <w:adjustRightInd w:val="0"/>
        <w:jc w:val="both"/>
        <w:rPr>
          <w:rFonts w:ascii="Tahoma" w:hAnsi="Tahoma" w:cs="Tahoma"/>
          <w:sz w:val="21"/>
          <w:szCs w:val="21"/>
        </w:rPr>
      </w:pPr>
      <w:bookmarkStart w:id="0" w:name="_Toc70817584"/>
      <w:bookmarkStart w:id="1" w:name="_Toc70838532"/>
      <w:bookmarkStart w:id="2" w:name="_Toc80584852"/>
      <w:r w:rsidRPr="00A207AF">
        <w:rPr>
          <w:rFonts w:ascii="Tahoma" w:eastAsia="Calibri" w:hAnsi="Tahoma" w:cs="Tahoma"/>
          <w:b/>
          <w:sz w:val="21"/>
          <w:szCs w:val="21"/>
        </w:rPr>
        <w:t>Purpose</w:t>
      </w:r>
      <w:bookmarkEnd w:id="0"/>
      <w:bookmarkEnd w:id="1"/>
      <w:bookmarkEnd w:id="2"/>
    </w:p>
    <w:p w14:paraId="350D73D5" w14:textId="77777777" w:rsidR="00670002" w:rsidRPr="00A207AF" w:rsidRDefault="00670002" w:rsidP="00670002">
      <w:pPr>
        <w:autoSpaceDE w:val="0"/>
        <w:autoSpaceDN w:val="0"/>
        <w:adjustRightInd w:val="0"/>
        <w:jc w:val="both"/>
        <w:rPr>
          <w:rFonts w:ascii="Tahoma" w:hAnsi="Tahoma" w:cs="Tahoma"/>
          <w:sz w:val="21"/>
          <w:szCs w:val="21"/>
        </w:rPr>
      </w:pPr>
      <w:r w:rsidRPr="00A207AF">
        <w:rPr>
          <w:rFonts w:ascii="Tahoma" w:hAnsi="Tahoma" w:cs="Tahoma"/>
          <w:sz w:val="21"/>
          <w:szCs w:val="21"/>
        </w:rPr>
        <w:t xml:space="preserve">The purpose of </w:t>
      </w:r>
      <w:r w:rsidR="00E61C6A">
        <w:rPr>
          <w:rFonts w:ascii="Tahoma" w:hAnsi="Tahoma" w:cs="Tahoma"/>
          <w:sz w:val="21"/>
          <w:szCs w:val="21"/>
        </w:rPr>
        <w:t xml:space="preserve">an </w:t>
      </w:r>
      <w:r w:rsidRPr="00A207AF">
        <w:rPr>
          <w:rFonts w:ascii="Tahoma" w:hAnsi="Tahoma" w:cs="Tahoma"/>
          <w:sz w:val="21"/>
          <w:szCs w:val="21"/>
        </w:rPr>
        <w:t>evaluation is twofold:</w:t>
      </w:r>
    </w:p>
    <w:p w14:paraId="60219535" w14:textId="77777777" w:rsidR="00670002" w:rsidRPr="00A207AF" w:rsidRDefault="00670002" w:rsidP="00670002">
      <w:pPr>
        <w:pStyle w:val="ListParagraph"/>
        <w:numPr>
          <w:ilvl w:val="0"/>
          <w:numId w:val="16"/>
        </w:numPr>
        <w:autoSpaceDE w:val="0"/>
        <w:autoSpaceDN w:val="0"/>
        <w:adjustRightInd w:val="0"/>
        <w:contextualSpacing/>
        <w:jc w:val="both"/>
        <w:rPr>
          <w:rFonts w:ascii="Tahoma" w:hAnsi="Tahoma" w:cs="Tahoma"/>
          <w:sz w:val="21"/>
          <w:szCs w:val="21"/>
        </w:rPr>
      </w:pPr>
      <w:r w:rsidRPr="00A207AF">
        <w:rPr>
          <w:rFonts w:ascii="Tahoma" w:hAnsi="Tahoma" w:cs="Tahoma"/>
          <w:sz w:val="21"/>
          <w:szCs w:val="21"/>
        </w:rPr>
        <w:t>To provide an assessment of an individual’s work to be used for making employment decisions, and</w:t>
      </w:r>
    </w:p>
    <w:p w14:paraId="03660280" w14:textId="77777777" w:rsidR="00670002" w:rsidRPr="00A207AF" w:rsidRDefault="00670002" w:rsidP="00670002">
      <w:pPr>
        <w:pStyle w:val="ListParagraph"/>
        <w:numPr>
          <w:ilvl w:val="0"/>
          <w:numId w:val="16"/>
        </w:numPr>
        <w:autoSpaceDE w:val="0"/>
        <w:autoSpaceDN w:val="0"/>
        <w:adjustRightInd w:val="0"/>
        <w:contextualSpacing/>
        <w:jc w:val="both"/>
        <w:rPr>
          <w:rFonts w:ascii="Tahoma" w:hAnsi="Tahoma" w:cs="Tahoma"/>
          <w:sz w:val="21"/>
          <w:szCs w:val="21"/>
        </w:rPr>
      </w:pPr>
      <w:r w:rsidRPr="00A207AF">
        <w:rPr>
          <w:rFonts w:ascii="Tahoma" w:hAnsi="Tahoma" w:cs="Tahoma"/>
          <w:sz w:val="21"/>
          <w:szCs w:val="21"/>
        </w:rPr>
        <w:t>To facilitate self-development and growth of the person being evaluated.</w:t>
      </w:r>
    </w:p>
    <w:p w14:paraId="7B7A9FB8" w14:textId="77777777" w:rsidR="00670002" w:rsidRPr="00A207AF" w:rsidRDefault="00670002" w:rsidP="00670002">
      <w:pPr>
        <w:pStyle w:val="ListParagraph"/>
        <w:autoSpaceDE w:val="0"/>
        <w:autoSpaceDN w:val="0"/>
        <w:adjustRightInd w:val="0"/>
        <w:jc w:val="both"/>
        <w:rPr>
          <w:rFonts w:ascii="Tahoma" w:hAnsi="Tahoma" w:cs="Tahoma"/>
          <w:sz w:val="21"/>
          <w:szCs w:val="21"/>
        </w:rPr>
      </w:pPr>
    </w:p>
    <w:p w14:paraId="2A4E5107" w14:textId="77777777" w:rsidR="00670002" w:rsidRPr="00A207AF" w:rsidRDefault="00670002" w:rsidP="008B55B5">
      <w:pPr>
        <w:autoSpaceDE w:val="0"/>
        <w:autoSpaceDN w:val="0"/>
        <w:adjustRightInd w:val="0"/>
        <w:rPr>
          <w:rFonts w:ascii="Tahoma" w:eastAsia="Calibri" w:hAnsi="Tahoma" w:cs="Tahoma"/>
          <w:b/>
          <w:sz w:val="21"/>
          <w:szCs w:val="21"/>
        </w:rPr>
      </w:pPr>
      <w:bookmarkStart w:id="3" w:name="_Toc70817585"/>
      <w:bookmarkStart w:id="4" w:name="_Toc70838533"/>
      <w:bookmarkStart w:id="5" w:name="_Toc80584853"/>
      <w:r w:rsidRPr="00A207AF">
        <w:rPr>
          <w:rFonts w:ascii="Tahoma" w:eastAsia="Calibri" w:hAnsi="Tahoma" w:cs="Tahoma"/>
          <w:b/>
          <w:sz w:val="21"/>
          <w:szCs w:val="21"/>
        </w:rPr>
        <w:t>Scope</w:t>
      </w:r>
      <w:bookmarkEnd w:id="3"/>
      <w:bookmarkEnd w:id="4"/>
      <w:r w:rsidRPr="00A207AF">
        <w:rPr>
          <w:rFonts w:ascii="Tahoma" w:eastAsia="Calibri" w:hAnsi="Tahoma" w:cs="Tahoma"/>
          <w:b/>
          <w:sz w:val="21"/>
          <w:szCs w:val="21"/>
        </w:rPr>
        <w:t xml:space="preserve"> and Frequency</w:t>
      </w:r>
      <w:bookmarkEnd w:id="5"/>
    </w:p>
    <w:p w14:paraId="198744B3" w14:textId="77777777" w:rsidR="008B55B5" w:rsidRPr="00A207AF" w:rsidRDefault="008B55B5" w:rsidP="00871698">
      <w:pPr>
        <w:autoSpaceDE w:val="0"/>
        <w:autoSpaceDN w:val="0"/>
        <w:adjustRightInd w:val="0"/>
        <w:spacing w:after="120"/>
        <w:rPr>
          <w:rFonts w:ascii="Tahoma" w:hAnsi="Tahoma" w:cs="Tahoma"/>
          <w:sz w:val="21"/>
          <w:szCs w:val="21"/>
        </w:rPr>
      </w:pPr>
      <w:r w:rsidRPr="00A207AF">
        <w:rPr>
          <w:rFonts w:ascii="Tahoma" w:hAnsi="Tahoma" w:cs="Tahoma"/>
          <w:sz w:val="21"/>
          <w:szCs w:val="21"/>
        </w:rPr>
        <w:t xml:space="preserve">NTT faculty members </w:t>
      </w:r>
      <w:r w:rsidR="004555FE" w:rsidRPr="004555FE">
        <w:rPr>
          <w:rFonts w:ascii="Tahoma" w:hAnsi="Tahoma" w:cs="Tahoma"/>
          <w:sz w:val="21"/>
          <w:szCs w:val="21"/>
        </w:rPr>
        <w:t xml:space="preserve">who are represented by the Illinois State University Education Association (ISUEA) </w:t>
      </w:r>
      <w:r w:rsidRPr="00A207AF">
        <w:rPr>
          <w:rFonts w:ascii="Tahoma" w:hAnsi="Tahoma" w:cs="Tahoma"/>
          <w:sz w:val="21"/>
          <w:szCs w:val="21"/>
        </w:rPr>
        <w:t xml:space="preserve">should be evaluated in accordance with Article </w:t>
      </w:r>
      <w:r w:rsidR="004555FE">
        <w:rPr>
          <w:rFonts w:ascii="Tahoma" w:hAnsi="Tahoma" w:cs="Tahoma"/>
          <w:sz w:val="21"/>
          <w:szCs w:val="21"/>
        </w:rPr>
        <w:t>16</w:t>
      </w:r>
      <w:r w:rsidR="004555FE" w:rsidRPr="00A207AF">
        <w:rPr>
          <w:rFonts w:ascii="Tahoma" w:hAnsi="Tahoma" w:cs="Tahoma"/>
          <w:sz w:val="21"/>
          <w:szCs w:val="21"/>
        </w:rPr>
        <w:t xml:space="preserve"> </w:t>
      </w:r>
      <w:r w:rsidRPr="00A207AF">
        <w:rPr>
          <w:rFonts w:ascii="Tahoma" w:hAnsi="Tahoma" w:cs="Tahoma"/>
          <w:sz w:val="21"/>
          <w:szCs w:val="21"/>
        </w:rPr>
        <w:t xml:space="preserve">in the </w:t>
      </w:r>
      <w:r w:rsidR="004555FE">
        <w:rPr>
          <w:rFonts w:ascii="Tahoma" w:hAnsi="Tahoma" w:cs="Tahoma"/>
          <w:sz w:val="21"/>
          <w:szCs w:val="21"/>
        </w:rPr>
        <w:t>ISUEA/ISU Collective</w:t>
      </w:r>
      <w:r w:rsidR="004555FE" w:rsidRPr="00A207AF">
        <w:rPr>
          <w:rFonts w:ascii="Tahoma" w:hAnsi="Tahoma" w:cs="Tahoma"/>
          <w:sz w:val="21"/>
          <w:szCs w:val="21"/>
        </w:rPr>
        <w:t xml:space="preserve"> </w:t>
      </w:r>
      <w:r w:rsidRPr="00A207AF">
        <w:rPr>
          <w:rFonts w:ascii="Tahoma" w:hAnsi="Tahoma" w:cs="Tahoma"/>
          <w:sz w:val="21"/>
          <w:szCs w:val="21"/>
        </w:rPr>
        <w:t>Bargaining Agreement</w:t>
      </w:r>
      <w:r w:rsidR="00680285">
        <w:rPr>
          <w:rFonts w:ascii="Tahoma" w:hAnsi="Tahoma" w:cs="Tahoma"/>
          <w:sz w:val="21"/>
          <w:szCs w:val="21"/>
        </w:rPr>
        <w:t>, which can be found at</w:t>
      </w:r>
      <w:r w:rsidRPr="00A207AF">
        <w:rPr>
          <w:rFonts w:ascii="Tahoma" w:hAnsi="Tahoma" w:cs="Tahoma"/>
          <w:i/>
          <w:sz w:val="21"/>
          <w:szCs w:val="21"/>
        </w:rPr>
        <w:t xml:space="preserve"> </w:t>
      </w:r>
      <w:hyperlink r:id="rId7" w:history="1">
        <w:r w:rsidRPr="00A207AF">
          <w:rPr>
            <w:rStyle w:val="Hyperlink"/>
            <w:rFonts w:ascii="Tahoma" w:hAnsi="Tahoma" w:cs="Tahoma"/>
            <w:i/>
            <w:sz w:val="21"/>
            <w:szCs w:val="21"/>
          </w:rPr>
          <w:t>http://hr.illinoisstate.edu/downloads/Labor_Contract_NTT.pdf</w:t>
        </w:r>
      </w:hyperlink>
      <w:r w:rsidR="00680285">
        <w:rPr>
          <w:rStyle w:val="Hyperlink"/>
          <w:rFonts w:ascii="Tahoma" w:hAnsi="Tahoma" w:cs="Tahoma"/>
          <w:i/>
          <w:sz w:val="21"/>
          <w:szCs w:val="21"/>
        </w:rPr>
        <w:t>.</w:t>
      </w:r>
    </w:p>
    <w:p w14:paraId="7563419E" w14:textId="77777777" w:rsidR="008B55B5" w:rsidRPr="00871698" w:rsidRDefault="00670002" w:rsidP="00871698">
      <w:pPr>
        <w:pStyle w:val="ListParagraph"/>
        <w:numPr>
          <w:ilvl w:val="0"/>
          <w:numId w:val="19"/>
        </w:numPr>
        <w:autoSpaceDE w:val="0"/>
        <w:autoSpaceDN w:val="0"/>
        <w:adjustRightInd w:val="0"/>
        <w:spacing w:after="120"/>
        <w:ind w:left="360" w:hanging="180"/>
        <w:rPr>
          <w:rFonts w:ascii="Tahoma" w:hAnsi="Tahoma" w:cs="Tahoma"/>
          <w:sz w:val="21"/>
          <w:szCs w:val="21"/>
        </w:rPr>
      </w:pPr>
      <w:r w:rsidRPr="004D12EF">
        <w:rPr>
          <w:rFonts w:ascii="Tahoma" w:hAnsi="Tahoma" w:cs="Tahoma"/>
          <w:sz w:val="21"/>
          <w:szCs w:val="21"/>
        </w:rPr>
        <w:t xml:space="preserve">Full-time and part-time regular probationary NTT faculty members will receive an annual evaluation. Part-time casual NTT faculty members may be evaluated through this or a less formal </w:t>
      </w:r>
      <w:proofErr w:type="gramStart"/>
      <w:r w:rsidRPr="004D12EF">
        <w:rPr>
          <w:rFonts w:ascii="Tahoma" w:hAnsi="Tahoma" w:cs="Tahoma"/>
          <w:sz w:val="21"/>
          <w:szCs w:val="21"/>
        </w:rPr>
        <w:t>process</w:t>
      </w:r>
      <w:proofErr w:type="gramEnd"/>
      <w:r w:rsidRPr="004D12EF">
        <w:rPr>
          <w:rFonts w:ascii="Tahoma" w:hAnsi="Tahoma" w:cs="Tahoma"/>
          <w:sz w:val="21"/>
          <w:szCs w:val="21"/>
        </w:rPr>
        <w:t xml:space="preserve"> but the University is not obligated to complete the evaluation process described in </w:t>
      </w:r>
      <w:r w:rsidR="00680285" w:rsidRPr="004D12EF">
        <w:rPr>
          <w:rFonts w:ascii="Tahoma" w:hAnsi="Tahoma" w:cs="Tahoma"/>
          <w:sz w:val="21"/>
          <w:szCs w:val="21"/>
        </w:rPr>
        <w:t>A</w:t>
      </w:r>
      <w:r w:rsidRPr="004D12EF">
        <w:rPr>
          <w:rFonts w:ascii="Tahoma" w:hAnsi="Tahoma" w:cs="Tahoma"/>
          <w:sz w:val="21"/>
          <w:szCs w:val="21"/>
        </w:rPr>
        <w:t xml:space="preserve">rticle </w:t>
      </w:r>
      <w:r w:rsidR="00680285" w:rsidRPr="004D12EF">
        <w:rPr>
          <w:rFonts w:ascii="Tahoma" w:hAnsi="Tahoma" w:cs="Tahoma"/>
          <w:sz w:val="21"/>
          <w:szCs w:val="21"/>
        </w:rPr>
        <w:t xml:space="preserve">16 </w:t>
      </w:r>
      <w:r w:rsidRPr="004D12EF">
        <w:rPr>
          <w:rFonts w:ascii="Tahoma" w:hAnsi="Tahoma" w:cs="Tahoma"/>
          <w:sz w:val="21"/>
          <w:szCs w:val="21"/>
        </w:rPr>
        <w:t>for those NTT faculty members.</w:t>
      </w:r>
    </w:p>
    <w:p w14:paraId="7BD94C3F" w14:textId="77777777" w:rsidR="00670002" w:rsidRPr="004D12EF" w:rsidRDefault="00670002" w:rsidP="004D12EF">
      <w:pPr>
        <w:pStyle w:val="ListParagraph"/>
        <w:numPr>
          <w:ilvl w:val="0"/>
          <w:numId w:val="19"/>
        </w:numPr>
        <w:autoSpaceDE w:val="0"/>
        <w:autoSpaceDN w:val="0"/>
        <w:adjustRightInd w:val="0"/>
        <w:ind w:left="360" w:hanging="180"/>
        <w:rPr>
          <w:rFonts w:ascii="Tahoma" w:hAnsi="Tahoma" w:cs="Tahoma"/>
          <w:sz w:val="21"/>
          <w:szCs w:val="21"/>
        </w:rPr>
      </w:pPr>
      <w:r w:rsidRPr="004D12EF">
        <w:rPr>
          <w:rFonts w:ascii="Tahoma" w:eastAsia="Calibri" w:hAnsi="Tahoma" w:cs="Tahoma"/>
          <w:sz w:val="21"/>
          <w:szCs w:val="21"/>
        </w:rPr>
        <w:t>Status NTT faculty members will be evaluated at least every third year following the completion of the probation period; however, more frequent evaluation is at the sole discretion of the department chair or designee.</w:t>
      </w:r>
    </w:p>
    <w:p w14:paraId="5A4F04D8" w14:textId="77777777" w:rsidR="00670002" w:rsidRPr="00A207AF" w:rsidRDefault="00670002" w:rsidP="008B55B5">
      <w:pPr>
        <w:autoSpaceDE w:val="0"/>
        <w:autoSpaceDN w:val="0"/>
        <w:adjustRightInd w:val="0"/>
        <w:rPr>
          <w:rFonts w:ascii="Tahoma" w:hAnsi="Tahoma" w:cs="Tahoma"/>
          <w:sz w:val="21"/>
          <w:szCs w:val="21"/>
        </w:rPr>
      </w:pPr>
    </w:p>
    <w:p w14:paraId="2479CB55" w14:textId="77777777" w:rsidR="00871698" w:rsidRDefault="00871698" w:rsidP="008B55B5">
      <w:pPr>
        <w:autoSpaceDE w:val="0"/>
        <w:autoSpaceDN w:val="0"/>
        <w:adjustRightInd w:val="0"/>
        <w:rPr>
          <w:rFonts w:ascii="Tahoma" w:hAnsi="Tahoma" w:cs="Tahoma"/>
          <w:sz w:val="21"/>
          <w:szCs w:val="21"/>
        </w:rPr>
      </w:pPr>
      <w:r w:rsidRPr="00A207AF">
        <w:rPr>
          <w:rFonts w:ascii="Tahoma" w:hAnsi="Tahoma" w:cs="Tahoma"/>
          <w:sz w:val="21"/>
          <w:szCs w:val="21"/>
        </w:rPr>
        <w:t>Non-</w:t>
      </w:r>
      <w:r>
        <w:rPr>
          <w:rFonts w:ascii="Tahoma" w:hAnsi="Tahoma" w:cs="Tahoma"/>
          <w:sz w:val="21"/>
          <w:szCs w:val="21"/>
        </w:rPr>
        <w:t>union</w:t>
      </w:r>
      <w:r w:rsidRPr="00A207AF">
        <w:rPr>
          <w:rFonts w:ascii="Tahoma" w:hAnsi="Tahoma" w:cs="Tahoma"/>
          <w:sz w:val="21"/>
          <w:szCs w:val="21"/>
        </w:rPr>
        <w:t xml:space="preserve">, full-time NTT faculty members should be evaluated annually. </w:t>
      </w:r>
    </w:p>
    <w:p w14:paraId="6F7A2ED4" w14:textId="77777777" w:rsidR="00871698" w:rsidRDefault="00871698" w:rsidP="008B55B5">
      <w:pPr>
        <w:autoSpaceDE w:val="0"/>
        <w:autoSpaceDN w:val="0"/>
        <w:adjustRightInd w:val="0"/>
        <w:rPr>
          <w:rFonts w:ascii="Tahoma" w:hAnsi="Tahoma" w:cs="Tahoma"/>
          <w:sz w:val="21"/>
          <w:szCs w:val="21"/>
        </w:rPr>
      </w:pPr>
    </w:p>
    <w:p w14:paraId="3D6368A3" w14:textId="77777777" w:rsidR="00670002" w:rsidRPr="00A207AF" w:rsidRDefault="00670002" w:rsidP="004D12EF">
      <w:pPr>
        <w:autoSpaceDE w:val="0"/>
        <w:autoSpaceDN w:val="0"/>
        <w:adjustRightInd w:val="0"/>
        <w:rPr>
          <w:rFonts w:ascii="Tahoma" w:hAnsi="Tahoma" w:cs="Tahoma"/>
          <w:sz w:val="21"/>
          <w:szCs w:val="21"/>
        </w:rPr>
      </w:pPr>
      <w:r w:rsidRPr="00A207AF">
        <w:rPr>
          <w:rFonts w:ascii="Tahoma" w:hAnsi="Tahoma" w:cs="Tahoma"/>
          <w:sz w:val="21"/>
          <w:szCs w:val="21"/>
        </w:rPr>
        <w:t>Evaluation material will be collected on a calendar year</w:t>
      </w:r>
      <w:r w:rsidR="00680285">
        <w:rPr>
          <w:rFonts w:ascii="Tahoma" w:hAnsi="Tahoma" w:cs="Tahoma"/>
          <w:sz w:val="21"/>
          <w:szCs w:val="21"/>
        </w:rPr>
        <w:t xml:space="preserve"> basis</w:t>
      </w:r>
      <w:r w:rsidRPr="00A207AF">
        <w:rPr>
          <w:rFonts w:ascii="Tahoma" w:hAnsi="Tahoma" w:cs="Tahoma"/>
          <w:sz w:val="21"/>
          <w:szCs w:val="21"/>
        </w:rPr>
        <w:t>. (Material from spring semester and then the following fall semester will be the primary source of material for the evaluation.) Evaluations for eligible NTT faculty will be completed no later than April 1.</w:t>
      </w:r>
    </w:p>
    <w:p w14:paraId="29B2052A" w14:textId="77777777" w:rsidR="00800B12" w:rsidRPr="00A207AF" w:rsidRDefault="00800B12" w:rsidP="00670002">
      <w:pPr>
        <w:autoSpaceDE w:val="0"/>
        <w:autoSpaceDN w:val="0"/>
        <w:adjustRightInd w:val="0"/>
        <w:jc w:val="both"/>
        <w:rPr>
          <w:rFonts w:ascii="Tahoma" w:hAnsi="Tahoma" w:cs="Tahoma"/>
          <w:sz w:val="21"/>
          <w:szCs w:val="21"/>
        </w:rPr>
      </w:pPr>
    </w:p>
    <w:p w14:paraId="2D7CEED5" w14:textId="77777777" w:rsidR="00670002" w:rsidRPr="00A207AF" w:rsidRDefault="00670002" w:rsidP="00670002">
      <w:pPr>
        <w:autoSpaceDE w:val="0"/>
        <w:autoSpaceDN w:val="0"/>
        <w:adjustRightInd w:val="0"/>
        <w:jc w:val="both"/>
        <w:rPr>
          <w:rFonts w:ascii="Tahoma" w:eastAsia="Calibri" w:hAnsi="Tahoma" w:cs="Tahoma"/>
          <w:sz w:val="21"/>
          <w:szCs w:val="21"/>
        </w:rPr>
      </w:pPr>
      <w:r w:rsidRPr="00A207AF">
        <w:rPr>
          <w:rFonts w:ascii="Tahoma" w:eastAsia="Calibri" w:hAnsi="Tahoma" w:cs="Tahoma"/>
          <w:sz w:val="21"/>
          <w:szCs w:val="21"/>
        </w:rPr>
        <w:t xml:space="preserve">A signed copy of the written </w:t>
      </w:r>
      <w:r w:rsidR="00680285">
        <w:rPr>
          <w:rFonts w:ascii="Tahoma" w:eastAsia="Calibri" w:hAnsi="Tahoma" w:cs="Tahoma"/>
          <w:sz w:val="21"/>
          <w:szCs w:val="21"/>
        </w:rPr>
        <w:t>evaluation, as well as a copy of the self-assessment,</w:t>
      </w:r>
      <w:r w:rsidRPr="00A207AF">
        <w:rPr>
          <w:rFonts w:ascii="Tahoma" w:eastAsia="Calibri" w:hAnsi="Tahoma" w:cs="Tahoma"/>
          <w:sz w:val="21"/>
          <w:szCs w:val="21"/>
        </w:rPr>
        <w:t xml:space="preserve"> shall be kept in the personnel file of the NTT faculty member.</w:t>
      </w:r>
    </w:p>
    <w:p w14:paraId="2CE31B4D" w14:textId="77777777" w:rsidR="007231C3" w:rsidRPr="00A207AF" w:rsidRDefault="007231C3" w:rsidP="00670002">
      <w:pPr>
        <w:autoSpaceDE w:val="0"/>
        <w:autoSpaceDN w:val="0"/>
        <w:adjustRightInd w:val="0"/>
        <w:jc w:val="both"/>
        <w:rPr>
          <w:rFonts w:ascii="Tahoma" w:hAnsi="Tahoma" w:cs="Tahoma"/>
          <w:sz w:val="21"/>
          <w:szCs w:val="21"/>
        </w:rPr>
      </w:pPr>
    </w:p>
    <w:p w14:paraId="1F9B1C1C" w14:textId="77777777" w:rsidR="00670002" w:rsidRPr="00A207AF" w:rsidRDefault="00670002" w:rsidP="00670002">
      <w:pPr>
        <w:autoSpaceDE w:val="0"/>
        <w:autoSpaceDN w:val="0"/>
        <w:adjustRightInd w:val="0"/>
        <w:jc w:val="both"/>
        <w:rPr>
          <w:rFonts w:ascii="Tahoma" w:hAnsi="Tahoma" w:cs="Tahoma"/>
          <w:sz w:val="21"/>
          <w:szCs w:val="21"/>
        </w:rPr>
      </w:pPr>
      <w:bookmarkStart w:id="6" w:name="_Toc70817586"/>
      <w:bookmarkStart w:id="7" w:name="_Toc70838534"/>
      <w:bookmarkStart w:id="8" w:name="_Toc80584854"/>
      <w:r w:rsidRPr="00A207AF">
        <w:rPr>
          <w:rFonts w:ascii="Tahoma" w:eastAsia="Calibri" w:hAnsi="Tahoma" w:cs="Tahoma"/>
          <w:b/>
          <w:sz w:val="21"/>
          <w:szCs w:val="21"/>
        </w:rPr>
        <w:t>Process</w:t>
      </w:r>
      <w:bookmarkEnd w:id="6"/>
      <w:bookmarkEnd w:id="7"/>
      <w:bookmarkEnd w:id="8"/>
    </w:p>
    <w:p w14:paraId="1C922E6C" w14:textId="367C1ADA" w:rsidR="00670002" w:rsidRPr="00A207AF" w:rsidRDefault="00794B5D" w:rsidP="00680285">
      <w:pPr>
        <w:pStyle w:val="ListParagraph"/>
        <w:numPr>
          <w:ilvl w:val="0"/>
          <w:numId w:val="18"/>
        </w:numPr>
        <w:autoSpaceDE w:val="0"/>
        <w:autoSpaceDN w:val="0"/>
        <w:adjustRightInd w:val="0"/>
        <w:spacing w:after="120"/>
        <w:ind w:left="540"/>
        <w:rPr>
          <w:rFonts w:ascii="Tahoma" w:hAnsi="Tahoma" w:cs="Tahoma"/>
          <w:sz w:val="21"/>
          <w:szCs w:val="21"/>
        </w:rPr>
      </w:pPr>
      <w:r w:rsidRPr="00794B5D">
        <w:rPr>
          <w:rFonts w:ascii="Tahoma" w:eastAsia="Calibri" w:hAnsi="Tahoma" w:cs="Tahoma"/>
          <w:sz w:val="21"/>
          <w:szCs w:val="21"/>
        </w:rPr>
        <w:t>The evaluation will normally be completed by the Department Chair.</w:t>
      </w:r>
      <w:r>
        <w:rPr>
          <w:rFonts w:ascii="Tahoma" w:eastAsia="Calibri" w:hAnsi="Tahoma" w:cs="Tahoma"/>
          <w:sz w:val="21"/>
          <w:szCs w:val="21"/>
        </w:rPr>
        <w:t xml:space="preserve"> </w:t>
      </w:r>
      <w:r w:rsidR="00670002" w:rsidRPr="00A207AF">
        <w:rPr>
          <w:rFonts w:ascii="Tahoma" w:eastAsia="Calibri" w:hAnsi="Tahoma" w:cs="Tahoma"/>
          <w:sz w:val="21"/>
          <w:szCs w:val="21"/>
        </w:rPr>
        <w:t xml:space="preserve">If the evaluation is to be completed by someone other than the </w:t>
      </w:r>
      <w:r>
        <w:rPr>
          <w:rFonts w:ascii="Tahoma" w:eastAsia="Calibri" w:hAnsi="Tahoma" w:cs="Tahoma"/>
          <w:sz w:val="21"/>
          <w:szCs w:val="21"/>
        </w:rPr>
        <w:t>Department C</w:t>
      </w:r>
      <w:r w:rsidR="00670002" w:rsidRPr="00A207AF">
        <w:rPr>
          <w:rFonts w:ascii="Tahoma" w:eastAsia="Calibri" w:hAnsi="Tahoma" w:cs="Tahoma"/>
          <w:sz w:val="21"/>
          <w:szCs w:val="21"/>
        </w:rPr>
        <w:t xml:space="preserve">hair, </w:t>
      </w:r>
      <w:r>
        <w:rPr>
          <w:rFonts w:ascii="Tahoma" w:eastAsia="Calibri" w:hAnsi="Tahoma" w:cs="Tahoma"/>
          <w:sz w:val="21"/>
          <w:szCs w:val="21"/>
        </w:rPr>
        <w:t xml:space="preserve">the individual designated to complete the evaluation must be a Tenured faculty member (or an individual who is not Tenured but has training and/or experience in completing evaluations) and, at least 10 working days in advance of completion of the evaluation, </w:t>
      </w:r>
      <w:r w:rsidR="00670002" w:rsidRPr="00A207AF">
        <w:rPr>
          <w:rFonts w:ascii="Tahoma" w:eastAsia="Calibri" w:hAnsi="Tahoma" w:cs="Tahoma"/>
          <w:sz w:val="21"/>
          <w:szCs w:val="21"/>
        </w:rPr>
        <w:t>the NTT faculty member will be notified who will be responsible for the evaluation.</w:t>
      </w:r>
      <w:r>
        <w:rPr>
          <w:rFonts w:ascii="Tahoma" w:eastAsia="Calibri" w:hAnsi="Tahoma" w:cs="Tahoma"/>
          <w:sz w:val="21"/>
          <w:szCs w:val="21"/>
        </w:rPr>
        <w:t xml:space="preserve"> </w:t>
      </w:r>
      <w:r w:rsidRPr="00794B5D">
        <w:rPr>
          <w:rFonts w:ascii="Tahoma" w:eastAsia="Calibri" w:hAnsi="Tahoma" w:cs="Tahoma"/>
          <w:sz w:val="21"/>
          <w:szCs w:val="21"/>
        </w:rPr>
        <w:t xml:space="preserve">To the extent the NTT objects to the individual who is designated to complete the evaluation in lieu of the Department Chair, within 5 working days of such notification the NTT may submit a written response to the Department Chair outlining the NTT’s specific concerns, for consideration by the Department Chair; this response will be attached to the final evaluation document if so requested by the NTT. </w:t>
      </w:r>
      <w:r>
        <w:rPr>
          <w:rFonts w:ascii="Tahoma" w:eastAsia="Calibri" w:hAnsi="Tahoma" w:cs="Tahoma"/>
          <w:sz w:val="21"/>
          <w:szCs w:val="21"/>
        </w:rPr>
        <w:t>C</w:t>
      </w:r>
      <w:r w:rsidRPr="00794B5D">
        <w:rPr>
          <w:rFonts w:ascii="Tahoma" w:eastAsia="Calibri" w:hAnsi="Tahoma" w:cs="Tahoma"/>
          <w:sz w:val="21"/>
          <w:szCs w:val="21"/>
        </w:rPr>
        <w:t>ompleting an evaluation is not the same as conducting a classroom observation.</w:t>
      </w:r>
    </w:p>
    <w:p w14:paraId="2F0BAD51" w14:textId="77777777" w:rsidR="000E3E14" w:rsidRPr="00A207AF" w:rsidRDefault="00670002" w:rsidP="00680285">
      <w:pPr>
        <w:pStyle w:val="ListParagraph"/>
        <w:numPr>
          <w:ilvl w:val="0"/>
          <w:numId w:val="18"/>
        </w:numPr>
        <w:autoSpaceDE w:val="0"/>
        <w:autoSpaceDN w:val="0"/>
        <w:adjustRightInd w:val="0"/>
        <w:spacing w:after="120"/>
        <w:ind w:left="540"/>
        <w:rPr>
          <w:rFonts w:ascii="Tahoma" w:hAnsi="Tahoma" w:cs="Tahoma"/>
          <w:sz w:val="21"/>
          <w:szCs w:val="21"/>
        </w:rPr>
      </w:pPr>
      <w:r w:rsidRPr="00A207AF">
        <w:rPr>
          <w:rFonts w:ascii="Tahoma" w:eastAsia="Calibri" w:hAnsi="Tahoma" w:cs="Tahoma"/>
          <w:sz w:val="21"/>
          <w:szCs w:val="21"/>
        </w:rPr>
        <w:t>Each NTT faculty member being evaluated will provide information related to their primary duties. In most instances, instructional performance will receive the highest priority in the evaluation process, but the evaluation may include other duties assigned. The evaluation of instruction will consider, but not be limited to, execution of assigned responsibilities; command of the subject matter or discipline; oral English proficiency as mandated by Illinois statute; ability to organize, analyze, and present knowledge or material; ability to encourage and interest students in the learning process; and in student advisement and direction given for student activities</w:t>
      </w:r>
      <w:r w:rsidRPr="00A207AF">
        <w:rPr>
          <w:rFonts w:ascii="Tahoma" w:eastAsia="Calibri" w:hAnsi="Tahoma" w:cs="Tahoma"/>
          <w:i/>
          <w:sz w:val="21"/>
          <w:szCs w:val="21"/>
        </w:rPr>
        <w:t>.  (</w:t>
      </w:r>
      <w:r w:rsidRPr="00A207AF">
        <w:rPr>
          <w:rFonts w:ascii="Tahoma" w:hAnsi="Tahoma" w:cs="Tahoma"/>
          <w:i/>
          <w:sz w:val="21"/>
          <w:szCs w:val="21"/>
        </w:rPr>
        <w:t>Evaluators may use the Non-Tenure Track Faculty Classroom Assessment Form PERS</w:t>
      </w:r>
      <w:r w:rsidR="00A207AF" w:rsidRPr="00A207AF">
        <w:rPr>
          <w:rFonts w:ascii="Tahoma" w:hAnsi="Tahoma" w:cs="Tahoma"/>
          <w:i/>
          <w:sz w:val="21"/>
          <w:szCs w:val="21"/>
        </w:rPr>
        <w:t xml:space="preserve"> </w:t>
      </w:r>
      <w:r w:rsidRPr="00A207AF">
        <w:rPr>
          <w:rFonts w:ascii="Tahoma" w:hAnsi="Tahoma" w:cs="Tahoma"/>
          <w:i/>
          <w:sz w:val="21"/>
          <w:szCs w:val="21"/>
        </w:rPr>
        <w:t xml:space="preserve">953 to assess a faculty member’s instructional performance. </w:t>
      </w:r>
      <w:hyperlink r:id="rId8" w:history="1">
        <w:r w:rsidRPr="00A207AF">
          <w:rPr>
            <w:rStyle w:val="Hyperlink"/>
            <w:rFonts w:ascii="Tahoma" w:hAnsi="Tahoma" w:cs="Tahoma"/>
            <w:i/>
            <w:sz w:val="21"/>
            <w:szCs w:val="21"/>
          </w:rPr>
          <w:t>http://hr.illinoisstate.edu/downloads/PERS953.pdf</w:t>
        </w:r>
      </w:hyperlink>
      <w:r w:rsidR="00A207AF" w:rsidRPr="00A207AF">
        <w:rPr>
          <w:rFonts w:ascii="Tahoma" w:hAnsi="Tahoma" w:cs="Tahoma"/>
          <w:i/>
          <w:sz w:val="21"/>
          <w:szCs w:val="21"/>
        </w:rPr>
        <w:t xml:space="preserve"> )</w:t>
      </w:r>
    </w:p>
    <w:p w14:paraId="6E04CC39" w14:textId="77777777" w:rsidR="00670002" w:rsidRPr="00A207AF" w:rsidRDefault="00670002" w:rsidP="00680285">
      <w:pPr>
        <w:pStyle w:val="ListParagraph"/>
        <w:numPr>
          <w:ilvl w:val="0"/>
          <w:numId w:val="18"/>
        </w:numPr>
        <w:autoSpaceDE w:val="0"/>
        <w:autoSpaceDN w:val="0"/>
        <w:adjustRightInd w:val="0"/>
        <w:spacing w:after="120"/>
        <w:ind w:left="540"/>
        <w:rPr>
          <w:rFonts w:ascii="Tahoma" w:hAnsi="Tahoma" w:cs="Tahoma"/>
          <w:sz w:val="21"/>
          <w:szCs w:val="21"/>
        </w:rPr>
      </w:pPr>
      <w:r w:rsidRPr="00A207AF">
        <w:rPr>
          <w:rFonts w:ascii="Tahoma" w:eastAsia="Calibri" w:hAnsi="Tahoma" w:cs="Tahoma"/>
          <w:sz w:val="21"/>
          <w:szCs w:val="21"/>
        </w:rPr>
        <w:t>Information will include a self</w:t>
      </w:r>
      <w:r w:rsidRPr="00A207AF">
        <w:rPr>
          <w:rFonts w:ascii="Tahoma" w:hAnsi="Tahoma" w:cs="Tahoma"/>
          <w:sz w:val="21"/>
          <w:szCs w:val="21"/>
        </w:rPr>
        <w:t>-</w:t>
      </w:r>
      <w:r w:rsidRPr="00A207AF">
        <w:rPr>
          <w:rFonts w:ascii="Tahoma" w:eastAsia="Calibri" w:hAnsi="Tahoma" w:cs="Tahoma"/>
          <w:sz w:val="21"/>
          <w:szCs w:val="21"/>
        </w:rPr>
        <w:t xml:space="preserve">assessment and student evaluations. The NTT faculty member being evaluated may choose to include additional pertinent information such as syllabi, assignments, course material, etc.  </w:t>
      </w:r>
      <w:r w:rsidRPr="00A207AF">
        <w:rPr>
          <w:rFonts w:ascii="Tahoma" w:eastAsia="Calibri" w:hAnsi="Tahoma" w:cs="Tahoma"/>
          <w:i/>
          <w:sz w:val="21"/>
          <w:szCs w:val="21"/>
        </w:rPr>
        <w:t>(</w:t>
      </w:r>
      <w:r w:rsidRPr="00A207AF">
        <w:rPr>
          <w:rFonts w:ascii="Tahoma" w:hAnsi="Tahoma" w:cs="Tahoma"/>
          <w:i/>
          <w:sz w:val="21"/>
          <w:szCs w:val="21"/>
        </w:rPr>
        <w:t xml:space="preserve">The Non-Tenure Track Faculty Self-Assessment Tool may be used as a suggested outline of information to include in your assessment. </w:t>
      </w:r>
      <w:hyperlink r:id="rId9" w:history="1">
        <w:r w:rsidRPr="00A207AF">
          <w:rPr>
            <w:rStyle w:val="Hyperlink"/>
            <w:rFonts w:ascii="Tahoma" w:hAnsi="Tahoma" w:cs="Tahoma"/>
            <w:i/>
            <w:sz w:val="21"/>
            <w:szCs w:val="21"/>
          </w:rPr>
          <w:t>http://hr.illinoisstate.edu/downloads/Non_Tenure_Track_Faculty_Self_Assessment_Tool.doc</w:t>
        </w:r>
      </w:hyperlink>
      <w:r w:rsidRPr="00A207AF">
        <w:rPr>
          <w:rFonts w:ascii="Tahoma" w:hAnsi="Tahoma" w:cs="Tahoma"/>
          <w:i/>
          <w:sz w:val="21"/>
          <w:szCs w:val="21"/>
        </w:rPr>
        <w:t xml:space="preserve">  NTT Faculty may summarize their assessment on the Non-Tenure Track Faculty Self-Assessment form PERS</w:t>
      </w:r>
      <w:r w:rsidR="00A207AF" w:rsidRPr="00A207AF">
        <w:rPr>
          <w:rFonts w:ascii="Tahoma" w:hAnsi="Tahoma" w:cs="Tahoma"/>
          <w:i/>
          <w:sz w:val="21"/>
          <w:szCs w:val="21"/>
        </w:rPr>
        <w:t xml:space="preserve"> </w:t>
      </w:r>
      <w:r w:rsidRPr="00A207AF">
        <w:rPr>
          <w:rFonts w:ascii="Tahoma" w:hAnsi="Tahoma" w:cs="Tahoma"/>
          <w:i/>
          <w:sz w:val="21"/>
          <w:szCs w:val="21"/>
        </w:rPr>
        <w:t>954.</w:t>
      </w:r>
      <w:r w:rsidR="00A42F22" w:rsidRPr="00A207AF">
        <w:rPr>
          <w:rFonts w:ascii="Tahoma" w:hAnsi="Tahoma" w:cs="Tahoma"/>
          <w:i/>
          <w:sz w:val="21"/>
          <w:szCs w:val="21"/>
        </w:rPr>
        <w:t xml:space="preserve"> </w:t>
      </w:r>
      <w:hyperlink r:id="rId10" w:history="1">
        <w:r w:rsidR="000E3E14" w:rsidRPr="00A207AF">
          <w:rPr>
            <w:rStyle w:val="Hyperlink"/>
            <w:rFonts w:ascii="Tahoma" w:hAnsi="Tahoma" w:cs="Tahoma"/>
            <w:i/>
            <w:sz w:val="21"/>
            <w:szCs w:val="21"/>
          </w:rPr>
          <w:t>http://hr.illinoisstate.edu/downloads/PERS954.pdf</w:t>
        </w:r>
      </w:hyperlink>
      <w:r w:rsidR="00A207AF" w:rsidRPr="00A207AF">
        <w:rPr>
          <w:rFonts w:ascii="Tahoma" w:eastAsia="Calibri" w:hAnsi="Tahoma" w:cs="Tahoma"/>
          <w:i/>
          <w:sz w:val="21"/>
          <w:szCs w:val="21"/>
        </w:rPr>
        <w:t xml:space="preserve"> )</w:t>
      </w:r>
    </w:p>
    <w:p w14:paraId="491B91B4" w14:textId="2C33B266" w:rsidR="00670002" w:rsidRPr="00A207AF" w:rsidRDefault="00670002" w:rsidP="00680285">
      <w:pPr>
        <w:pStyle w:val="ListParagraph"/>
        <w:numPr>
          <w:ilvl w:val="0"/>
          <w:numId w:val="18"/>
        </w:numPr>
        <w:autoSpaceDE w:val="0"/>
        <w:autoSpaceDN w:val="0"/>
        <w:adjustRightInd w:val="0"/>
        <w:spacing w:after="120"/>
        <w:ind w:left="540"/>
        <w:rPr>
          <w:rFonts w:ascii="Tahoma" w:hAnsi="Tahoma" w:cs="Tahoma"/>
          <w:sz w:val="21"/>
          <w:szCs w:val="21"/>
        </w:rPr>
      </w:pPr>
      <w:r w:rsidRPr="00A207AF">
        <w:rPr>
          <w:rFonts w:ascii="Tahoma" w:eastAsia="Calibri" w:hAnsi="Tahoma" w:cs="Tahoma"/>
          <w:sz w:val="21"/>
          <w:szCs w:val="21"/>
        </w:rPr>
        <w:t>Student evaluations will be made available to NTT faculty members after grades are provided to students by the university.</w:t>
      </w:r>
      <w:r w:rsidRPr="00A207AF">
        <w:rPr>
          <w:rFonts w:ascii="Tahoma" w:hAnsi="Tahoma" w:cs="Tahoma"/>
          <w:sz w:val="21"/>
          <w:szCs w:val="21"/>
        </w:rPr>
        <w:t xml:space="preserve"> </w:t>
      </w:r>
      <w:r w:rsidR="00794B5D" w:rsidRPr="00794B5D">
        <w:rPr>
          <w:rFonts w:ascii="Tahoma" w:hAnsi="Tahoma" w:cs="Tahoma"/>
          <w:sz w:val="21"/>
          <w:szCs w:val="21"/>
        </w:rPr>
        <w:t>While not a requirement, the goal will be to make student evaluations for fall semester courses available prior to the start of the following spring semester. Student evaluations for spring semester courses will be made available to NTT faculty members prior to start of the next Academic Year.</w:t>
      </w:r>
    </w:p>
    <w:p w14:paraId="41B18EEA" w14:textId="77777777" w:rsidR="007231C3" w:rsidRPr="00A207AF" w:rsidRDefault="00670002" w:rsidP="00680285">
      <w:pPr>
        <w:pStyle w:val="ListParagraph"/>
        <w:numPr>
          <w:ilvl w:val="0"/>
          <w:numId w:val="18"/>
        </w:numPr>
        <w:autoSpaceDE w:val="0"/>
        <w:autoSpaceDN w:val="0"/>
        <w:adjustRightInd w:val="0"/>
        <w:spacing w:after="120"/>
        <w:ind w:left="540"/>
        <w:rPr>
          <w:rFonts w:ascii="Tahoma" w:hAnsi="Tahoma" w:cs="Tahoma"/>
          <w:sz w:val="21"/>
          <w:szCs w:val="21"/>
        </w:rPr>
      </w:pPr>
      <w:r w:rsidRPr="00A207AF">
        <w:rPr>
          <w:rFonts w:ascii="Tahoma" w:eastAsia="Calibri" w:hAnsi="Tahoma" w:cs="Tahoma"/>
          <w:sz w:val="21"/>
          <w:szCs w:val="21"/>
        </w:rPr>
        <w:t>When considering student evaluations as part of the evaluation process, the evaluator will consider the nature of the course as well as the subject matter and the impact each may have on the content of the student evaluations. In addition, evaluators need to understand that student evaluations are only one source of information about the nature of teaching occurring in the classroom.</w:t>
      </w:r>
    </w:p>
    <w:p w14:paraId="53C48FC2" w14:textId="77777777" w:rsidR="00670002" w:rsidRPr="00A207AF" w:rsidRDefault="00670002" w:rsidP="00680285">
      <w:pPr>
        <w:pStyle w:val="ListParagraph"/>
        <w:numPr>
          <w:ilvl w:val="0"/>
          <w:numId w:val="18"/>
        </w:numPr>
        <w:autoSpaceDE w:val="0"/>
        <w:autoSpaceDN w:val="0"/>
        <w:adjustRightInd w:val="0"/>
        <w:spacing w:after="120"/>
        <w:ind w:left="540"/>
        <w:rPr>
          <w:rFonts w:ascii="Tahoma" w:hAnsi="Tahoma" w:cs="Tahoma"/>
          <w:sz w:val="21"/>
          <w:szCs w:val="21"/>
        </w:rPr>
      </w:pPr>
      <w:r w:rsidRPr="00A207AF">
        <w:rPr>
          <w:rFonts w:ascii="Tahoma" w:eastAsia="Calibri" w:hAnsi="Tahoma" w:cs="Tahoma"/>
          <w:sz w:val="21"/>
          <w:szCs w:val="21"/>
        </w:rPr>
        <w:t>The NTT faculty member will receive a letter or some other document that informs the NTT faculty member of the content of the evaluation.</w:t>
      </w:r>
      <w:r w:rsidRPr="00A207AF">
        <w:rPr>
          <w:rFonts w:ascii="Tahoma" w:hAnsi="Tahoma" w:cs="Tahoma"/>
          <w:sz w:val="21"/>
          <w:szCs w:val="21"/>
        </w:rPr>
        <w:t xml:space="preserve"> </w:t>
      </w:r>
      <w:r w:rsidR="007231C3" w:rsidRPr="00A207AF">
        <w:rPr>
          <w:rFonts w:ascii="Tahoma" w:hAnsi="Tahoma" w:cs="Tahoma"/>
          <w:i/>
          <w:sz w:val="21"/>
          <w:szCs w:val="21"/>
        </w:rPr>
        <w:t>(To meet this requirement, evaluators may summarize their overall evaluation on the Non-Tenure Track</w:t>
      </w:r>
      <w:r w:rsidR="00CD47C7">
        <w:rPr>
          <w:rFonts w:ascii="Tahoma" w:hAnsi="Tahoma" w:cs="Tahoma"/>
          <w:i/>
          <w:sz w:val="21"/>
          <w:szCs w:val="21"/>
        </w:rPr>
        <w:t xml:space="preserve"> Faculty Evaluation form</w:t>
      </w:r>
      <w:r w:rsidR="007231C3" w:rsidRPr="00A207AF">
        <w:rPr>
          <w:rFonts w:ascii="Tahoma" w:hAnsi="Tahoma" w:cs="Tahoma"/>
          <w:i/>
          <w:sz w:val="21"/>
          <w:szCs w:val="21"/>
        </w:rPr>
        <w:t xml:space="preserve"> PERS</w:t>
      </w:r>
      <w:r w:rsidR="00A207AF" w:rsidRPr="00A207AF">
        <w:rPr>
          <w:rFonts w:ascii="Tahoma" w:hAnsi="Tahoma" w:cs="Tahoma"/>
          <w:i/>
          <w:sz w:val="21"/>
          <w:szCs w:val="21"/>
        </w:rPr>
        <w:t xml:space="preserve"> </w:t>
      </w:r>
      <w:r w:rsidR="007231C3" w:rsidRPr="00A207AF">
        <w:rPr>
          <w:rFonts w:ascii="Tahoma" w:hAnsi="Tahoma" w:cs="Tahoma"/>
          <w:i/>
          <w:sz w:val="21"/>
          <w:szCs w:val="21"/>
        </w:rPr>
        <w:t xml:space="preserve">955 and provide a copy of the signed form to the NTT faculty member.     </w:t>
      </w:r>
      <w:hyperlink r:id="rId11" w:history="1">
        <w:r w:rsidR="007231C3" w:rsidRPr="00A207AF">
          <w:rPr>
            <w:rStyle w:val="Hyperlink"/>
            <w:rFonts w:ascii="Tahoma" w:hAnsi="Tahoma" w:cs="Tahoma"/>
            <w:i/>
            <w:sz w:val="21"/>
            <w:szCs w:val="21"/>
          </w:rPr>
          <w:t>http://hr.illinoisstate.edu/downloads/PERS955.pdf</w:t>
        </w:r>
      </w:hyperlink>
      <w:r w:rsidR="00A207AF" w:rsidRPr="00A207AF">
        <w:rPr>
          <w:rFonts w:ascii="Tahoma" w:hAnsi="Tahoma" w:cs="Tahoma"/>
          <w:i/>
          <w:sz w:val="21"/>
          <w:szCs w:val="21"/>
        </w:rPr>
        <w:t xml:space="preserve"> )</w:t>
      </w:r>
    </w:p>
    <w:p w14:paraId="36CBDCC5" w14:textId="77777777" w:rsidR="00670002" w:rsidRPr="00A207AF" w:rsidRDefault="00670002" w:rsidP="00680285">
      <w:pPr>
        <w:pStyle w:val="ListParagraph"/>
        <w:numPr>
          <w:ilvl w:val="1"/>
          <w:numId w:val="18"/>
        </w:numPr>
        <w:autoSpaceDE w:val="0"/>
        <w:autoSpaceDN w:val="0"/>
        <w:adjustRightInd w:val="0"/>
        <w:spacing w:after="120"/>
        <w:ind w:left="900"/>
        <w:rPr>
          <w:rFonts w:ascii="Tahoma" w:hAnsi="Tahoma" w:cs="Tahoma"/>
          <w:sz w:val="21"/>
          <w:szCs w:val="21"/>
        </w:rPr>
      </w:pPr>
      <w:r w:rsidRPr="00A207AF">
        <w:rPr>
          <w:rFonts w:ascii="Tahoma" w:hAnsi="Tahoma" w:cs="Tahoma"/>
          <w:sz w:val="21"/>
          <w:szCs w:val="21"/>
        </w:rPr>
        <w:t xml:space="preserve">In the event an employee receives a negative evaluation (does not meet expectations) through the above evaluation process, it is the intent of the parties that the employee is informed of the concerns about the employee’s performance as clearly and precisely as possible and as early as possible. </w:t>
      </w:r>
    </w:p>
    <w:p w14:paraId="45E13C7F" w14:textId="77777777" w:rsidR="00736A77" w:rsidRPr="00A207AF" w:rsidRDefault="00670002" w:rsidP="00680285">
      <w:pPr>
        <w:pStyle w:val="ListParagraph"/>
        <w:numPr>
          <w:ilvl w:val="1"/>
          <w:numId w:val="18"/>
        </w:numPr>
        <w:autoSpaceDE w:val="0"/>
        <w:autoSpaceDN w:val="0"/>
        <w:adjustRightInd w:val="0"/>
        <w:spacing w:after="120"/>
        <w:ind w:left="900"/>
        <w:rPr>
          <w:rFonts w:ascii="Tahoma" w:hAnsi="Tahoma" w:cs="Tahoma"/>
          <w:sz w:val="21"/>
          <w:szCs w:val="21"/>
        </w:rPr>
      </w:pPr>
      <w:r w:rsidRPr="00A207AF">
        <w:rPr>
          <w:rFonts w:ascii="Tahoma" w:hAnsi="Tahoma" w:cs="Tahoma"/>
          <w:sz w:val="21"/>
          <w:szCs w:val="21"/>
        </w:rPr>
        <w:t>To accomplish the goals identified in statement “a” above, an NTT who receives a “less than satisfactory” evaluation will be scheduled by the employee’s chair for a meeting with the chair to clarify and establish expectations and goals for the employee’s future work. The results of that meeting will be provided to the NTT faculty member in writing.</w:t>
      </w:r>
    </w:p>
    <w:p w14:paraId="6CDAA030" w14:textId="42730C54" w:rsidR="00670002" w:rsidRPr="00A207AF" w:rsidRDefault="00670002" w:rsidP="00680285">
      <w:pPr>
        <w:pStyle w:val="ListParagraph"/>
        <w:numPr>
          <w:ilvl w:val="1"/>
          <w:numId w:val="18"/>
        </w:numPr>
        <w:tabs>
          <w:tab w:val="left" w:pos="900"/>
        </w:tabs>
        <w:autoSpaceDE w:val="0"/>
        <w:autoSpaceDN w:val="0"/>
        <w:adjustRightInd w:val="0"/>
        <w:spacing w:after="120"/>
        <w:ind w:left="900"/>
        <w:rPr>
          <w:rFonts w:ascii="Tahoma" w:hAnsi="Tahoma" w:cs="Tahoma"/>
          <w:sz w:val="21"/>
          <w:szCs w:val="21"/>
        </w:rPr>
      </w:pPr>
      <w:r w:rsidRPr="00A207AF">
        <w:rPr>
          <w:rFonts w:ascii="Tahoma" w:hAnsi="Tahoma" w:cs="Tahoma"/>
          <w:sz w:val="21"/>
          <w:szCs w:val="21"/>
        </w:rPr>
        <w:t>The meeting should occur before May 1</w:t>
      </w:r>
      <w:r w:rsidR="00794B5D">
        <w:rPr>
          <w:rFonts w:ascii="Tahoma" w:hAnsi="Tahoma" w:cs="Tahoma"/>
          <w:sz w:val="21"/>
          <w:szCs w:val="21"/>
        </w:rPr>
        <w:t>5</w:t>
      </w:r>
      <w:r w:rsidR="00794B5D" w:rsidRPr="00794B5D">
        <w:rPr>
          <w:rFonts w:ascii="Tahoma" w:hAnsi="Tahoma" w:cs="Tahoma"/>
          <w:sz w:val="21"/>
          <w:szCs w:val="21"/>
          <w:vertAlign w:val="superscript"/>
        </w:rPr>
        <w:t>th</w:t>
      </w:r>
      <w:r w:rsidRPr="00A207AF">
        <w:rPr>
          <w:rFonts w:ascii="Tahoma" w:hAnsi="Tahoma" w:cs="Tahoma"/>
          <w:sz w:val="21"/>
          <w:szCs w:val="21"/>
        </w:rPr>
        <w:t xml:space="preserve"> of the academic year in which the negative evaluation was received. </w:t>
      </w:r>
    </w:p>
    <w:p w14:paraId="1A40394A" w14:textId="77777777" w:rsidR="00670002" w:rsidRPr="00A207AF" w:rsidRDefault="00670002" w:rsidP="00736A77">
      <w:pPr>
        <w:pStyle w:val="ListParagraph"/>
        <w:numPr>
          <w:ilvl w:val="0"/>
          <w:numId w:val="18"/>
        </w:numPr>
        <w:autoSpaceDE w:val="0"/>
        <w:autoSpaceDN w:val="0"/>
        <w:adjustRightInd w:val="0"/>
        <w:ind w:left="540"/>
        <w:contextualSpacing/>
        <w:rPr>
          <w:rFonts w:ascii="Tahoma" w:hAnsi="Tahoma" w:cs="Tahoma"/>
          <w:sz w:val="21"/>
          <w:szCs w:val="21"/>
        </w:rPr>
      </w:pPr>
      <w:r w:rsidRPr="00A207AF">
        <w:rPr>
          <w:rFonts w:ascii="Tahoma" w:eastAsia="Calibri" w:hAnsi="Tahoma" w:cs="Tahoma"/>
          <w:sz w:val="21"/>
          <w:szCs w:val="21"/>
        </w:rPr>
        <w:t xml:space="preserve">For the NTT faculty serving in capacities other than teaching or supervising student teachers, </w:t>
      </w:r>
      <w:r w:rsidR="00680285">
        <w:rPr>
          <w:rFonts w:ascii="Tahoma" w:eastAsia="Calibri" w:hAnsi="Tahoma" w:cs="Tahoma"/>
          <w:sz w:val="21"/>
          <w:szCs w:val="21"/>
        </w:rPr>
        <w:t xml:space="preserve">the </w:t>
      </w:r>
      <w:r w:rsidRPr="00A207AF">
        <w:rPr>
          <w:rFonts w:ascii="Tahoma" w:eastAsia="Calibri" w:hAnsi="Tahoma" w:cs="Tahoma"/>
          <w:sz w:val="21"/>
          <w:szCs w:val="21"/>
        </w:rPr>
        <w:t>evaluation will pertain to the effectiveness of the NTT faculty member in performing the assigned responsibilities.</w:t>
      </w:r>
    </w:p>
    <w:p w14:paraId="2CE29C6F" w14:textId="77777777" w:rsidR="007231C3" w:rsidRPr="00A207AF" w:rsidRDefault="007231C3" w:rsidP="007231C3">
      <w:pPr>
        <w:autoSpaceDE w:val="0"/>
        <w:autoSpaceDN w:val="0"/>
        <w:adjustRightInd w:val="0"/>
        <w:rPr>
          <w:rFonts w:ascii="Tahoma" w:hAnsi="Tahoma" w:cs="Tahoma"/>
          <w:sz w:val="21"/>
          <w:szCs w:val="21"/>
        </w:rPr>
      </w:pPr>
    </w:p>
    <w:p w14:paraId="0C980BEB" w14:textId="77777777" w:rsidR="007231C3" w:rsidRPr="00A207AF" w:rsidRDefault="007231C3" w:rsidP="007231C3">
      <w:pPr>
        <w:autoSpaceDE w:val="0"/>
        <w:autoSpaceDN w:val="0"/>
        <w:adjustRightInd w:val="0"/>
        <w:rPr>
          <w:rFonts w:ascii="Tahoma" w:hAnsi="Tahoma" w:cs="Tahoma"/>
          <w:sz w:val="21"/>
          <w:szCs w:val="21"/>
        </w:rPr>
      </w:pPr>
      <w:r w:rsidRPr="00A207AF">
        <w:rPr>
          <w:rFonts w:ascii="Tahoma" w:hAnsi="Tahoma" w:cs="Tahoma"/>
          <w:sz w:val="21"/>
          <w:szCs w:val="21"/>
        </w:rPr>
        <w:t>Forward the original, signed evaluation form</w:t>
      </w:r>
      <w:r w:rsidR="00CD47C7">
        <w:rPr>
          <w:rFonts w:ascii="Tahoma" w:hAnsi="Tahoma" w:cs="Tahoma"/>
          <w:sz w:val="21"/>
          <w:szCs w:val="21"/>
        </w:rPr>
        <w:t xml:space="preserve"> and any relevant supporting documents</w:t>
      </w:r>
      <w:r w:rsidRPr="00A207AF">
        <w:rPr>
          <w:rFonts w:ascii="Tahoma" w:hAnsi="Tahoma" w:cs="Tahoma"/>
          <w:sz w:val="21"/>
          <w:szCs w:val="21"/>
        </w:rPr>
        <w:t xml:space="preserve"> </w:t>
      </w:r>
      <w:r w:rsidR="001D39D4">
        <w:rPr>
          <w:rFonts w:ascii="Tahoma" w:hAnsi="Tahoma" w:cs="Tahoma"/>
          <w:sz w:val="21"/>
          <w:szCs w:val="21"/>
        </w:rPr>
        <w:t xml:space="preserve">(e.g., self-assessment, classroom assessment, summary of student evaluations, etc.) </w:t>
      </w:r>
      <w:r w:rsidRPr="00A207AF">
        <w:rPr>
          <w:rFonts w:ascii="Tahoma" w:hAnsi="Tahoma" w:cs="Tahoma"/>
          <w:sz w:val="21"/>
          <w:szCs w:val="21"/>
        </w:rPr>
        <w:t>to Human Resources, Campus Box 1300, 101 Nelson Smith Building, by the evaluation deadline</w:t>
      </w:r>
      <w:r w:rsidR="00622EE9">
        <w:rPr>
          <w:rFonts w:ascii="Tahoma" w:hAnsi="Tahoma" w:cs="Tahoma"/>
          <w:sz w:val="21"/>
          <w:szCs w:val="21"/>
        </w:rPr>
        <w:t>.  Those documents will</w:t>
      </w:r>
      <w:r w:rsidRPr="00A207AF">
        <w:rPr>
          <w:rFonts w:ascii="Tahoma" w:hAnsi="Tahoma" w:cs="Tahoma"/>
          <w:sz w:val="21"/>
          <w:szCs w:val="21"/>
        </w:rPr>
        <w:t xml:space="preserve"> be retained in the NTT faculty member’s personnel file. </w:t>
      </w:r>
      <w:r w:rsidR="00CD47C7">
        <w:rPr>
          <w:rFonts w:ascii="Tahoma" w:hAnsi="Tahoma" w:cs="Tahoma"/>
          <w:sz w:val="21"/>
          <w:szCs w:val="21"/>
        </w:rPr>
        <w:t xml:space="preserve"> </w:t>
      </w:r>
      <w:r w:rsidR="00347481">
        <w:rPr>
          <w:rFonts w:ascii="Tahoma" w:hAnsi="Tahoma" w:cs="Tahoma"/>
          <w:sz w:val="21"/>
          <w:szCs w:val="21"/>
        </w:rPr>
        <w:t xml:space="preserve">Retain copies of </w:t>
      </w:r>
      <w:r w:rsidR="001D39D4">
        <w:rPr>
          <w:rFonts w:ascii="Tahoma" w:hAnsi="Tahoma" w:cs="Tahoma"/>
          <w:sz w:val="21"/>
          <w:szCs w:val="21"/>
        </w:rPr>
        <w:t xml:space="preserve">all </w:t>
      </w:r>
      <w:r w:rsidR="00347481">
        <w:rPr>
          <w:rFonts w:ascii="Tahoma" w:hAnsi="Tahoma" w:cs="Tahoma"/>
          <w:sz w:val="21"/>
          <w:szCs w:val="21"/>
        </w:rPr>
        <w:t xml:space="preserve">evaluation materials in the evaluating department.  </w:t>
      </w:r>
    </w:p>
    <w:p w14:paraId="400DF5B0" w14:textId="77777777" w:rsidR="00670002" w:rsidRPr="00A207AF" w:rsidRDefault="00670002" w:rsidP="00A42F22">
      <w:pPr>
        <w:autoSpaceDE w:val="0"/>
        <w:autoSpaceDN w:val="0"/>
        <w:adjustRightInd w:val="0"/>
        <w:rPr>
          <w:rFonts w:ascii="Tahoma" w:hAnsi="Tahoma" w:cs="Tahoma"/>
          <w:b/>
          <w:bCs/>
          <w:sz w:val="21"/>
          <w:szCs w:val="21"/>
        </w:rPr>
      </w:pPr>
    </w:p>
    <w:p w14:paraId="72972711" w14:textId="77777777" w:rsidR="00670002" w:rsidRPr="00A207AF" w:rsidRDefault="00670002" w:rsidP="00A42F22">
      <w:pPr>
        <w:autoSpaceDE w:val="0"/>
        <w:autoSpaceDN w:val="0"/>
        <w:adjustRightInd w:val="0"/>
        <w:rPr>
          <w:rFonts w:ascii="Tahoma" w:hAnsi="Tahoma"/>
          <w:sz w:val="21"/>
          <w:szCs w:val="21"/>
        </w:rPr>
      </w:pPr>
      <w:bookmarkStart w:id="9" w:name="_Toc70817587"/>
      <w:bookmarkStart w:id="10" w:name="_Toc70838535"/>
      <w:bookmarkStart w:id="11" w:name="_Toc80584855"/>
      <w:r w:rsidRPr="00A207AF">
        <w:rPr>
          <w:rFonts w:ascii="Tahoma" w:eastAsia="Calibri" w:hAnsi="Tahoma"/>
          <w:b/>
          <w:sz w:val="21"/>
          <w:szCs w:val="21"/>
        </w:rPr>
        <w:t>Response to an Evaluation</w:t>
      </w:r>
      <w:bookmarkEnd w:id="9"/>
      <w:bookmarkEnd w:id="10"/>
      <w:bookmarkEnd w:id="11"/>
    </w:p>
    <w:p w14:paraId="2BC2B7FB" w14:textId="77777777" w:rsidR="00670002" w:rsidRPr="00A207AF" w:rsidRDefault="00670002" w:rsidP="00A42F22">
      <w:pPr>
        <w:autoSpaceDE w:val="0"/>
        <w:autoSpaceDN w:val="0"/>
        <w:adjustRightInd w:val="0"/>
        <w:rPr>
          <w:rFonts w:ascii="Tahoma" w:hAnsi="Tahoma" w:cs="Tahoma"/>
          <w:sz w:val="21"/>
          <w:szCs w:val="21"/>
        </w:rPr>
      </w:pPr>
      <w:r w:rsidRPr="00A207AF">
        <w:rPr>
          <w:rFonts w:ascii="Tahoma" w:hAnsi="Tahoma" w:cs="Tahoma"/>
          <w:sz w:val="21"/>
          <w:szCs w:val="21"/>
        </w:rPr>
        <w:t>If an NTT faculty member feels the evaluation is inaccurate, the NTT faculty member can request a meeting with the evaluator to discuss the merits of the evaluation within ten (10) work days following the time the evaluation is made available to the NTT faculty member. If such meeting does not resolve the dispute, the NTT faculty member may attach a written response to the evaluation explaining his/her objection to any part of the evaluation. Letters must be submitted within seven (7) work days following the meeting with the immediate supervisor.</w:t>
      </w:r>
    </w:p>
    <w:p w14:paraId="6818D4F3" w14:textId="77777777" w:rsidR="00670002" w:rsidRPr="00A207AF" w:rsidRDefault="00670002" w:rsidP="00A42F22">
      <w:pPr>
        <w:autoSpaceDE w:val="0"/>
        <w:autoSpaceDN w:val="0"/>
        <w:adjustRightInd w:val="0"/>
        <w:rPr>
          <w:rFonts w:ascii="Tahoma" w:hAnsi="Tahoma" w:cs="Tahoma"/>
          <w:sz w:val="21"/>
          <w:szCs w:val="21"/>
        </w:rPr>
      </w:pPr>
    </w:p>
    <w:p w14:paraId="1BAE5408" w14:textId="77777777" w:rsidR="00670002" w:rsidRPr="00A207AF" w:rsidRDefault="00670002" w:rsidP="00A42F22">
      <w:pPr>
        <w:autoSpaceDE w:val="0"/>
        <w:autoSpaceDN w:val="0"/>
        <w:adjustRightInd w:val="0"/>
        <w:rPr>
          <w:rFonts w:ascii="Tahoma" w:hAnsi="Tahoma"/>
          <w:sz w:val="21"/>
          <w:szCs w:val="21"/>
        </w:rPr>
      </w:pPr>
      <w:bookmarkStart w:id="12" w:name="_Toc70817588"/>
      <w:bookmarkStart w:id="13" w:name="_Toc70838536"/>
      <w:bookmarkStart w:id="14" w:name="_Toc80584856"/>
      <w:r w:rsidRPr="00A207AF">
        <w:rPr>
          <w:rFonts w:ascii="Tahoma" w:eastAsia="Calibri" w:hAnsi="Tahoma"/>
          <w:b/>
          <w:sz w:val="21"/>
          <w:szCs w:val="21"/>
        </w:rPr>
        <w:t>Review of Evaluation Content</w:t>
      </w:r>
      <w:bookmarkEnd w:id="12"/>
      <w:bookmarkEnd w:id="13"/>
      <w:bookmarkEnd w:id="14"/>
    </w:p>
    <w:p w14:paraId="09DA8403" w14:textId="77777777" w:rsidR="00E61C6A" w:rsidRDefault="00E61C6A" w:rsidP="00A42F22">
      <w:pPr>
        <w:autoSpaceDE w:val="0"/>
        <w:autoSpaceDN w:val="0"/>
        <w:adjustRightInd w:val="0"/>
        <w:rPr>
          <w:rFonts w:ascii="Tahoma" w:hAnsi="Tahoma" w:cs="Tahoma"/>
          <w:sz w:val="21"/>
          <w:szCs w:val="21"/>
        </w:rPr>
      </w:pPr>
      <w:r>
        <w:rPr>
          <w:rFonts w:ascii="Tahoma" w:hAnsi="Tahoma" w:cs="Tahoma"/>
          <w:sz w:val="21"/>
          <w:szCs w:val="21"/>
        </w:rPr>
        <w:t xml:space="preserve">Union-represented NTT faculty members only: </w:t>
      </w:r>
      <w:r w:rsidR="00670002" w:rsidRPr="00A207AF">
        <w:rPr>
          <w:rFonts w:ascii="Tahoma" w:hAnsi="Tahoma" w:cs="Tahoma"/>
          <w:sz w:val="21"/>
          <w:szCs w:val="21"/>
        </w:rPr>
        <w:t>The University retains sole responsibility for the evaluation and assessment of the performance of each NTT faculty member</w:t>
      </w:r>
      <w:r>
        <w:rPr>
          <w:rFonts w:ascii="Tahoma" w:hAnsi="Tahoma" w:cs="Tahoma"/>
          <w:sz w:val="21"/>
          <w:szCs w:val="21"/>
        </w:rPr>
        <w:t>,</w:t>
      </w:r>
      <w:r w:rsidR="00670002" w:rsidRPr="00A207AF">
        <w:rPr>
          <w:rFonts w:ascii="Tahoma" w:hAnsi="Tahoma" w:cs="Tahoma"/>
          <w:sz w:val="21"/>
          <w:szCs w:val="21"/>
        </w:rPr>
        <w:t xml:space="preserve"> subject to the procedural requirements of </w:t>
      </w:r>
      <w:r w:rsidR="00680285">
        <w:rPr>
          <w:rFonts w:ascii="Tahoma" w:hAnsi="Tahoma" w:cs="Tahoma"/>
          <w:sz w:val="21"/>
          <w:szCs w:val="21"/>
        </w:rPr>
        <w:t>A</w:t>
      </w:r>
      <w:r w:rsidR="00670002" w:rsidRPr="00A207AF">
        <w:rPr>
          <w:rFonts w:ascii="Tahoma" w:hAnsi="Tahoma" w:cs="Tahoma"/>
          <w:sz w:val="21"/>
          <w:szCs w:val="21"/>
        </w:rPr>
        <w:t>rticle</w:t>
      </w:r>
      <w:r w:rsidR="00680285">
        <w:rPr>
          <w:rFonts w:ascii="Tahoma" w:hAnsi="Tahoma" w:cs="Tahoma"/>
          <w:sz w:val="21"/>
          <w:szCs w:val="21"/>
        </w:rPr>
        <w:t xml:space="preserve"> 16</w:t>
      </w:r>
      <w:r w:rsidR="00670002" w:rsidRPr="00A207AF">
        <w:rPr>
          <w:rFonts w:ascii="Tahoma" w:hAnsi="Tahoma" w:cs="Tahoma"/>
          <w:sz w:val="21"/>
          <w:szCs w:val="21"/>
        </w:rPr>
        <w:t xml:space="preserve">. Accordingly, no grievance arising from application of </w:t>
      </w:r>
      <w:r w:rsidR="00680285">
        <w:rPr>
          <w:rFonts w:ascii="Tahoma" w:hAnsi="Tahoma" w:cs="Tahoma"/>
          <w:sz w:val="21"/>
          <w:szCs w:val="21"/>
        </w:rPr>
        <w:t>A</w:t>
      </w:r>
      <w:r w:rsidR="00670002" w:rsidRPr="00A207AF">
        <w:rPr>
          <w:rFonts w:ascii="Tahoma" w:hAnsi="Tahoma" w:cs="Tahoma"/>
          <w:sz w:val="21"/>
          <w:szCs w:val="21"/>
        </w:rPr>
        <w:t xml:space="preserve">rticle </w:t>
      </w:r>
      <w:r w:rsidR="00680285">
        <w:rPr>
          <w:rFonts w:ascii="Tahoma" w:hAnsi="Tahoma" w:cs="Tahoma"/>
          <w:sz w:val="21"/>
          <w:szCs w:val="21"/>
        </w:rPr>
        <w:t xml:space="preserve">16 </w:t>
      </w:r>
      <w:r w:rsidR="00670002" w:rsidRPr="00A207AF">
        <w:rPr>
          <w:rFonts w:ascii="Tahoma" w:hAnsi="Tahoma" w:cs="Tahoma"/>
          <w:sz w:val="21"/>
          <w:szCs w:val="21"/>
        </w:rPr>
        <w:t xml:space="preserve">shall challenge the substantive standards or criteria used by the evaluator or University, nor shall it contest the judgment of the evaluator, nor the content of the evaluation. Any grievance regarding evaluation shall be limited to a claim that the procedures of </w:t>
      </w:r>
      <w:r>
        <w:rPr>
          <w:rFonts w:ascii="Tahoma" w:hAnsi="Tahoma" w:cs="Tahoma"/>
          <w:sz w:val="21"/>
          <w:szCs w:val="21"/>
        </w:rPr>
        <w:t>A</w:t>
      </w:r>
      <w:r w:rsidR="00670002" w:rsidRPr="00A207AF">
        <w:rPr>
          <w:rFonts w:ascii="Tahoma" w:hAnsi="Tahoma" w:cs="Tahoma"/>
          <w:sz w:val="21"/>
          <w:szCs w:val="21"/>
        </w:rPr>
        <w:t xml:space="preserve">rticle </w:t>
      </w:r>
      <w:r>
        <w:rPr>
          <w:rFonts w:ascii="Tahoma" w:hAnsi="Tahoma" w:cs="Tahoma"/>
          <w:sz w:val="21"/>
          <w:szCs w:val="21"/>
        </w:rPr>
        <w:t xml:space="preserve">16 </w:t>
      </w:r>
      <w:r w:rsidR="00670002" w:rsidRPr="00A207AF">
        <w:rPr>
          <w:rFonts w:ascii="Tahoma" w:hAnsi="Tahoma" w:cs="Tahoma"/>
          <w:sz w:val="21"/>
          <w:szCs w:val="21"/>
        </w:rPr>
        <w:t xml:space="preserve">have been violated or unreasonably applied. </w:t>
      </w:r>
    </w:p>
    <w:p w14:paraId="1F07170C" w14:textId="77777777" w:rsidR="00E61C6A" w:rsidRDefault="00E61C6A" w:rsidP="00A42F22">
      <w:pPr>
        <w:autoSpaceDE w:val="0"/>
        <w:autoSpaceDN w:val="0"/>
        <w:adjustRightInd w:val="0"/>
        <w:rPr>
          <w:rFonts w:ascii="Tahoma" w:hAnsi="Tahoma" w:cs="Tahoma"/>
          <w:sz w:val="21"/>
          <w:szCs w:val="21"/>
        </w:rPr>
      </w:pPr>
    </w:p>
    <w:p w14:paraId="6E0BE46C" w14:textId="77777777" w:rsidR="002763A3" w:rsidRDefault="00670002" w:rsidP="00A42F22">
      <w:pPr>
        <w:autoSpaceDE w:val="0"/>
        <w:autoSpaceDN w:val="0"/>
        <w:adjustRightInd w:val="0"/>
        <w:rPr>
          <w:rFonts w:ascii="Tahoma" w:hAnsi="Tahoma" w:cs="Tahoma"/>
          <w:sz w:val="21"/>
          <w:szCs w:val="21"/>
        </w:rPr>
      </w:pPr>
      <w:r w:rsidRPr="00A207AF">
        <w:rPr>
          <w:rFonts w:ascii="Tahoma" w:hAnsi="Tahoma" w:cs="Tahoma"/>
          <w:sz w:val="21"/>
          <w:szCs w:val="21"/>
        </w:rPr>
        <w:t xml:space="preserve">If an NTT believes the evaluation to be in error, he/she can appeal it to the department chair. In the event an adverse action results from the contents of an evaluation and the NTT faculty members believes the evaluation to be in error, the faculty member may appeal the contents of the evaluation. Such appeal still begins first with the person who completed the evaluation and proceeds to the department chair unless the department chair is the person who completed the evaluation. The next step would be to appeal to the Dean of the college to which the NTT employee is assigned. If the accuracy of the evaluation is still in dispute at the conclusion of the dean’s step, the employee may appeal to the </w:t>
      </w:r>
      <w:r w:rsidR="00E61C6A">
        <w:rPr>
          <w:rFonts w:ascii="Tahoma" w:hAnsi="Tahoma" w:cs="Tahoma"/>
          <w:sz w:val="21"/>
          <w:szCs w:val="21"/>
        </w:rPr>
        <w:t xml:space="preserve">Director, </w:t>
      </w:r>
      <w:r w:rsidRPr="00A207AF">
        <w:rPr>
          <w:rFonts w:ascii="Tahoma" w:hAnsi="Tahoma" w:cs="Tahoma"/>
          <w:sz w:val="21"/>
          <w:szCs w:val="21"/>
        </w:rPr>
        <w:t xml:space="preserve">Labor Relations </w:t>
      </w:r>
      <w:r w:rsidR="00E61C6A">
        <w:rPr>
          <w:rFonts w:ascii="Tahoma" w:hAnsi="Tahoma" w:cs="Tahoma"/>
          <w:sz w:val="21"/>
          <w:szCs w:val="21"/>
        </w:rPr>
        <w:t>or designee</w:t>
      </w:r>
      <w:r w:rsidRPr="00A207AF">
        <w:rPr>
          <w:rFonts w:ascii="Tahoma" w:hAnsi="Tahoma" w:cs="Tahoma"/>
          <w:sz w:val="21"/>
          <w:szCs w:val="21"/>
        </w:rPr>
        <w:t xml:space="preserve">. The appeal to the </w:t>
      </w:r>
      <w:r w:rsidR="00E61C6A">
        <w:rPr>
          <w:rFonts w:ascii="Tahoma" w:hAnsi="Tahoma" w:cs="Tahoma"/>
          <w:sz w:val="21"/>
          <w:szCs w:val="21"/>
        </w:rPr>
        <w:t xml:space="preserve">Director, </w:t>
      </w:r>
      <w:r w:rsidRPr="00A207AF">
        <w:rPr>
          <w:rFonts w:ascii="Tahoma" w:hAnsi="Tahoma" w:cs="Tahoma"/>
          <w:sz w:val="21"/>
          <w:szCs w:val="21"/>
        </w:rPr>
        <w:t xml:space="preserve">Labor Relations </w:t>
      </w:r>
      <w:r w:rsidR="00E61C6A">
        <w:rPr>
          <w:rFonts w:ascii="Tahoma" w:hAnsi="Tahoma" w:cs="Tahoma"/>
          <w:sz w:val="21"/>
          <w:szCs w:val="21"/>
        </w:rPr>
        <w:t>or designee</w:t>
      </w:r>
      <w:r w:rsidRPr="00A207AF">
        <w:rPr>
          <w:rFonts w:ascii="Tahoma" w:hAnsi="Tahoma" w:cs="Tahoma"/>
          <w:sz w:val="21"/>
          <w:szCs w:val="21"/>
        </w:rPr>
        <w:t xml:space="preserve"> will be the final appeal step for challenging the accuracy of the evaluation.</w:t>
      </w:r>
    </w:p>
    <w:sectPr w:rsidR="002763A3" w:rsidSect="008F1F14">
      <w:headerReference w:type="default" r:id="rId12"/>
      <w:footerReference w:type="default" r:id="rId13"/>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C98D" w14:textId="77777777" w:rsidR="00347481" w:rsidRDefault="00347481">
      <w:r>
        <w:separator/>
      </w:r>
    </w:p>
  </w:endnote>
  <w:endnote w:type="continuationSeparator" w:id="0">
    <w:p w14:paraId="531426EE" w14:textId="77777777" w:rsidR="00347481" w:rsidRDefault="0034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rPr>
      <w:id w:val="-1903059126"/>
      <w:docPartObj>
        <w:docPartGallery w:val="Page Numbers (Bottom of Page)"/>
        <w:docPartUnique/>
      </w:docPartObj>
    </w:sdtPr>
    <w:sdtEndPr/>
    <w:sdtContent>
      <w:sdt>
        <w:sdtPr>
          <w:rPr>
            <w:rFonts w:ascii="Tahoma" w:hAnsi="Tahoma" w:cs="Tahoma"/>
            <w:sz w:val="20"/>
          </w:rPr>
          <w:id w:val="1728636285"/>
          <w:docPartObj>
            <w:docPartGallery w:val="Page Numbers (Top of Page)"/>
            <w:docPartUnique/>
          </w:docPartObj>
        </w:sdtPr>
        <w:sdtEndPr/>
        <w:sdtContent>
          <w:p w14:paraId="72811DBA" w14:textId="77777777" w:rsidR="00E61C6A" w:rsidRPr="00E61C6A" w:rsidRDefault="00E61C6A" w:rsidP="00E61C6A">
            <w:pPr>
              <w:pStyle w:val="Footer"/>
              <w:jc w:val="center"/>
              <w:rPr>
                <w:rFonts w:ascii="Tahoma" w:hAnsi="Tahoma" w:cs="Tahoma"/>
                <w:sz w:val="20"/>
              </w:rPr>
            </w:pPr>
            <w:r w:rsidRPr="00E61C6A">
              <w:rPr>
                <w:rFonts w:ascii="Tahoma" w:hAnsi="Tahoma" w:cs="Tahoma"/>
                <w:sz w:val="20"/>
              </w:rPr>
              <w:t xml:space="preserve">Page </w:t>
            </w:r>
            <w:r w:rsidRPr="00E61C6A">
              <w:rPr>
                <w:rFonts w:ascii="Tahoma" w:hAnsi="Tahoma" w:cs="Tahoma"/>
                <w:bCs/>
                <w:sz w:val="20"/>
              </w:rPr>
              <w:fldChar w:fldCharType="begin"/>
            </w:r>
            <w:r w:rsidRPr="00E61C6A">
              <w:rPr>
                <w:rFonts w:ascii="Tahoma" w:hAnsi="Tahoma" w:cs="Tahoma"/>
                <w:bCs/>
                <w:sz w:val="20"/>
              </w:rPr>
              <w:instrText xml:space="preserve"> PAGE </w:instrText>
            </w:r>
            <w:r w:rsidRPr="00E61C6A">
              <w:rPr>
                <w:rFonts w:ascii="Tahoma" w:hAnsi="Tahoma" w:cs="Tahoma"/>
                <w:bCs/>
                <w:sz w:val="20"/>
              </w:rPr>
              <w:fldChar w:fldCharType="separate"/>
            </w:r>
            <w:r w:rsidRPr="00E61C6A">
              <w:rPr>
                <w:rFonts w:ascii="Tahoma" w:hAnsi="Tahoma" w:cs="Tahoma"/>
                <w:bCs/>
                <w:noProof/>
                <w:sz w:val="20"/>
              </w:rPr>
              <w:t>2</w:t>
            </w:r>
            <w:r w:rsidRPr="00E61C6A">
              <w:rPr>
                <w:rFonts w:ascii="Tahoma" w:hAnsi="Tahoma" w:cs="Tahoma"/>
                <w:bCs/>
                <w:sz w:val="20"/>
              </w:rPr>
              <w:fldChar w:fldCharType="end"/>
            </w:r>
            <w:r w:rsidRPr="00E61C6A">
              <w:rPr>
                <w:rFonts w:ascii="Tahoma" w:hAnsi="Tahoma" w:cs="Tahoma"/>
                <w:sz w:val="20"/>
              </w:rPr>
              <w:t xml:space="preserve"> of </w:t>
            </w:r>
            <w:r w:rsidRPr="00E61C6A">
              <w:rPr>
                <w:rFonts w:ascii="Tahoma" w:hAnsi="Tahoma" w:cs="Tahoma"/>
                <w:bCs/>
                <w:sz w:val="20"/>
              </w:rPr>
              <w:fldChar w:fldCharType="begin"/>
            </w:r>
            <w:r w:rsidRPr="00E61C6A">
              <w:rPr>
                <w:rFonts w:ascii="Tahoma" w:hAnsi="Tahoma" w:cs="Tahoma"/>
                <w:bCs/>
                <w:sz w:val="20"/>
              </w:rPr>
              <w:instrText xml:space="preserve"> NUMPAGES  </w:instrText>
            </w:r>
            <w:r w:rsidRPr="00E61C6A">
              <w:rPr>
                <w:rFonts w:ascii="Tahoma" w:hAnsi="Tahoma" w:cs="Tahoma"/>
                <w:bCs/>
                <w:sz w:val="20"/>
              </w:rPr>
              <w:fldChar w:fldCharType="separate"/>
            </w:r>
            <w:r w:rsidRPr="00E61C6A">
              <w:rPr>
                <w:rFonts w:ascii="Tahoma" w:hAnsi="Tahoma" w:cs="Tahoma"/>
                <w:bCs/>
                <w:noProof/>
                <w:sz w:val="20"/>
              </w:rPr>
              <w:t>2</w:t>
            </w:r>
            <w:r w:rsidRPr="00E61C6A">
              <w:rPr>
                <w:rFonts w:ascii="Tahoma" w:hAnsi="Tahoma" w:cs="Tahoma"/>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04DC" w14:textId="77777777" w:rsidR="00347481" w:rsidRDefault="00347481">
      <w:r>
        <w:separator/>
      </w:r>
    </w:p>
  </w:footnote>
  <w:footnote w:type="continuationSeparator" w:id="0">
    <w:p w14:paraId="4BEF8B7A" w14:textId="77777777" w:rsidR="00347481" w:rsidRDefault="0034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D5DE" w14:textId="77777777" w:rsidR="00347481" w:rsidRPr="009A142A" w:rsidRDefault="00347481" w:rsidP="00E61C6A">
    <w:pPr>
      <w:pStyle w:val="Header"/>
      <w:tabs>
        <w:tab w:val="clear" w:pos="8640"/>
        <w:tab w:val="right" w:pos="10512"/>
      </w:tabs>
      <w:spacing w:after="40"/>
      <w:jc w:val="center"/>
      <w:rPr>
        <w:rFonts w:ascii="Arial" w:hAnsi="Arial" w:cs="Arial"/>
        <w:b/>
        <w:bCs/>
      </w:rPr>
    </w:pPr>
    <w:r w:rsidRPr="009A142A">
      <w:rPr>
        <w:rFonts w:ascii="Arial" w:hAnsi="Arial" w:cs="Arial"/>
        <w:b/>
        <w:bCs/>
      </w:rPr>
      <w:t>Illinois State University</w:t>
    </w:r>
    <w:r>
      <w:rPr>
        <w:rFonts w:ascii="Arial" w:hAnsi="Arial" w:cs="Arial"/>
        <w:b/>
        <w:bCs/>
      </w:rPr>
      <w:br/>
    </w:r>
    <w:r w:rsidRPr="00757A9A">
      <w:rPr>
        <w:rFonts w:ascii="Arial" w:hAnsi="Arial" w:cs="Arial"/>
        <w:b/>
        <w:bCs/>
        <w:sz w:val="28"/>
        <w:szCs w:val="28"/>
      </w:rPr>
      <w:t>Non-Tenure Track Faculty Evaluation Process</w:t>
    </w:r>
  </w:p>
  <w:p w14:paraId="73AF7AFD" w14:textId="77777777" w:rsidR="00347481" w:rsidRPr="00561D24" w:rsidRDefault="00347481" w:rsidP="00561D24">
    <w:pPr>
      <w:pBdr>
        <w:top w:val="thinThickSmallGap" w:sz="24" w:space="0" w:color="auto"/>
      </w:pBdr>
      <w:spacing w:before="40"/>
      <w:jc w:val="right"/>
      <w:rPr>
        <w:rFonts w:ascii="Arial Narrow" w:hAnsi="Arial Narrow"/>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4AA5"/>
    <w:multiLevelType w:val="multilevel"/>
    <w:tmpl w:val="69A0AE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2542C"/>
    <w:multiLevelType w:val="hybridMultilevel"/>
    <w:tmpl w:val="AD3A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17F5A"/>
    <w:multiLevelType w:val="multilevel"/>
    <w:tmpl w:val="146258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200"/>
        </w:tabs>
        <w:ind w:left="-1200" w:hanging="360"/>
      </w:pPr>
      <w:rPr>
        <w:rFonts w:ascii="Symbol" w:hAnsi="Symbol" w:hint="default"/>
        <w:color w:val="auto"/>
      </w:rPr>
    </w:lvl>
    <w:lvl w:ilvl="2">
      <w:start w:val="1"/>
      <w:numFmt w:val="bullet"/>
      <w:lvlText w:val=""/>
      <w:lvlJc w:val="left"/>
      <w:pPr>
        <w:tabs>
          <w:tab w:val="num" w:pos="-480"/>
        </w:tabs>
        <w:ind w:left="-480" w:hanging="360"/>
      </w:pPr>
      <w:rPr>
        <w:rFonts w:ascii="Wingdings" w:hAnsi="Wingdings" w:hint="default"/>
      </w:rPr>
    </w:lvl>
    <w:lvl w:ilvl="3">
      <w:start w:val="1"/>
      <w:numFmt w:val="bullet"/>
      <w:lvlText w:val=""/>
      <w:lvlJc w:val="left"/>
      <w:pPr>
        <w:tabs>
          <w:tab w:val="num" w:pos="240"/>
        </w:tabs>
        <w:ind w:left="240" w:hanging="360"/>
      </w:pPr>
      <w:rPr>
        <w:rFonts w:ascii="Symbol" w:hAnsi="Symbol" w:hint="default"/>
      </w:rPr>
    </w:lvl>
    <w:lvl w:ilvl="4">
      <w:start w:val="1"/>
      <w:numFmt w:val="bullet"/>
      <w:lvlText w:val="o"/>
      <w:lvlJc w:val="left"/>
      <w:pPr>
        <w:tabs>
          <w:tab w:val="num" w:pos="960"/>
        </w:tabs>
        <w:ind w:left="960" w:hanging="360"/>
      </w:pPr>
      <w:rPr>
        <w:rFonts w:ascii="Courier New" w:hAnsi="Courier New" w:cs="Courier New" w:hint="default"/>
      </w:rPr>
    </w:lvl>
    <w:lvl w:ilvl="5">
      <w:start w:val="1"/>
      <w:numFmt w:val="bullet"/>
      <w:lvlText w:val=""/>
      <w:lvlJc w:val="left"/>
      <w:pPr>
        <w:tabs>
          <w:tab w:val="num" w:pos="1680"/>
        </w:tabs>
        <w:ind w:left="1680" w:hanging="360"/>
      </w:pPr>
      <w:rPr>
        <w:rFonts w:ascii="Wingdings" w:hAnsi="Wingdings" w:hint="default"/>
      </w:rPr>
    </w:lvl>
    <w:lvl w:ilvl="6">
      <w:start w:val="1"/>
      <w:numFmt w:val="bullet"/>
      <w:lvlText w:val=""/>
      <w:lvlJc w:val="left"/>
      <w:pPr>
        <w:tabs>
          <w:tab w:val="num" w:pos="2400"/>
        </w:tabs>
        <w:ind w:left="2400" w:hanging="360"/>
      </w:pPr>
      <w:rPr>
        <w:rFonts w:ascii="Symbol" w:hAnsi="Symbol" w:hint="default"/>
      </w:rPr>
    </w:lvl>
    <w:lvl w:ilvl="7">
      <w:start w:val="1"/>
      <w:numFmt w:val="bullet"/>
      <w:lvlText w:val="o"/>
      <w:lvlJc w:val="left"/>
      <w:pPr>
        <w:tabs>
          <w:tab w:val="num" w:pos="3120"/>
        </w:tabs>
        <w:ind w:left="3120" w:hanging="360"/>
      </w:pPr>
      <w:rPr>
        <w:rFonts w:ascii="Courier New" w:hAnsi="Courier New" w:cs="Courier New" w:hint="default"/>
      </w:rPr>
    </w:lvl>
    <w:lvl w:ilvl="8">
      <w:start w:val="1"/>
      <w:numFmt w:val="bullet"/>
      <w:lvlText w:val=""/>
      <w:lvlJc w:val="left"/>
      <w:pPr>
        <w:tabs>
          <w:tab w:val="num" w:pos="3840"/>
        </w:tabs>
        <w:ind w:left="3840" w:hanging="360"/>
      </w:pPr>
      <w:rPr>
        <w:rFonts w:ascii="Wingdings" w:hAnsi="Wingdings" w:hint="default"/>
      </w:rPr>
    </w:lvl>
  </w:abstractNum>
  <w:abstractNum w:abstractNumId="3" w15:restartNumberingAfterBreak="0">
    <w:nsid w:val="1A741507"/>
    <w:multiLevelType w:val="multilevel"/>
    <w:tmpl w:val="DC067244"/>
    <w:lvl w:ilvl="0">
      <w:start w:val="1"/>
      <w:numFmt w:val="bullet"/>
      <w:lvlText w:val=""/>
      <w:lvlJc w:val="left"/>
      <w:pPr>
        <w:tabs>
          <w:tab w:val="num" w:pos="3000"/>
        </w:tabs>
        <w:ind w:left="30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2674"/>
    <w:multiLevelType w:val="hybridMultilevel"/>
    <w:tmpl w:val="EBA23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419F6"/>
    <w:multiLevelType w:val="hybridMultilevel"/>
    <w:tmpl w:val="69A0A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92142"/>
    <w:multiLevelType w:val="hybridMultilevel"/>
    <w:tmpl w:val="56045B9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84F79"/>
    <w:multiLevelType w:val="multilevel"/>
    <w:tmpl w:val="56045B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C2DF5"/>
    <w:multiLevelType w:val="multilevel"/>
    <w:tmpl w:val="6AA262F0"/>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D31DB7"/>
    <w:multiLevelType w:val="hybridMultilevel"/>
    <w:tmpl w:val="3390952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6117C4"/>
    <w:multiLevelType w:val="hybridMultilevel"/>
    <w:tmpl w:val="BFC099A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16850"/>
    <w:multiLevelType w:val="hybridMultilevel"/>
    <w:tmpl w:val="1462588E"/>
    <w:lvl w:ilvl="0" w:tplc="55A068C0">
      <w:start w:val="1"/>
      <w:numFmt w:val="bullet"/>
      <w:lvlText w:val=""/>
      <w:lvlJc w:val="left"/>
      <w:pPr>
        <w:tabs>
          <w:tab w:val="num" w:pos="360"/>
        </w:tabs>
        <w:ind w:left="360" w:hanging="360"/>
      </w:pPr>
      <w:rPr>
        <w:rFonts w:ascii="Symbol" w:hAnsi="Symbol" w:hint="default"/>
        <w:color w:val="auto"/>
      </w:rPr>
    </w:lvl>
    <w:lvl w:ilvl="1" w:tplc="04090007">
      <w:start w:val="1"/>
      <w:numFmt w:val="bullet"/>
      <w:lvlText w:val=""/>
      <w:lvlJc w:val="left"/>
      <w:pPr>
        <w:tabs>
          <w:tab w:val="num" w:pos="-1200"/>
        </w:tabs>
        <w:ind w:left="-1200" w:hanging="360"/>
      </w:pPr>
      <w:rPr>
        <w:rFonts w:ascii="Symbol" w:hAnsi="Symbol" w:hint="default"/>
        <w:color w:val="auto"/>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240"/>
        </w:tabs>
        <w:ind w:left="240" w:hanging="360"/>
      </w:pPr>
      <w:rPr>
        <w:rFonts w:ascii="Symbol" w:hAnsi="Symbol" w:hint="default"/>
      </w:rPr>
    </w:lvl>
    <w:lvl w:ilvl="4" w:tplc="04090003" w:tentative="1">
      <w:start w:val="1"/>
      <w:numFmt w:val="bullet"/>
      <w:lvlText w:val="o"/>
      <w:lvlJc w:val="left"/>
      <w:pPr>
        <w:tabs>
          <w:tab w:val="num" w:pos="960"/>
        </w:tabs>
        <w:ind w:left="960" w:hanging="360"/>
      </w:pPr>
      <w:rPr>
        <w:rFonts w:ascii="Courier New" w:hAnsi="Courier New" w:cs="Courier New" w:hint="default"/>
      </w:rPr>
    </w:lvl>
    <w:lvl w:ilvl="5" w:tplc="04090005" w:tentative="1">
      <w:start w:val="1"/>
      <w:numFmt w:val="bullet"/>
      <w:lvlText w:val=""/>
      <w:lvlJc w:val="left"/>
      <w:pPr>
        <w:tabs>
          <w:tab w:val="num" w:pos="1680"/>
        </w:tabs>
        <w:ind w:left="1680" w:hanging="360"/>
      </w:pPr>
      <w:rPr>
        <w:rFonts w:ascii="Wingdings" w:hAnsi="Wingdings" w:hint="default"/>
      </w:rPr>
    </w:lvl>
    <w:lvl w:ilvl="6" w:tplc="04090001" w:tentative="1">
      <w:start w:val="1"/>
      <w:numFmt w:val="bullet"/>
      <w:lvlText w:val=""/>
      <w:lvlJc w:val="left"/>
      <w:pPr>
        <w:tabs>
          <w:tab w:val="num" w:pos="2400"/>
        </w:tabs>
        <w:ind w:left="2400" w:hanging="360"/>
      </w:pPr>
      <w:rPr>
        <w:rFonts w:ascii="Symbol" w:hAnsi="Symbol" w:hint="default"/>
      </w:rPr>
    </w:lvl>
    <w:lvl w:ilvl="7" w:tplc="04090003" w:tentative="1">
      <w:start w:val="1"/>
      <w:numFmt w:val="bullet"/>
      <w:lvlText w:val="o"/>
      <w:lvlJc w:val="left"/>
      <w:pPr>
        <w:tabs>
          <w:tab w:val="num" w:pos="3120"/>
        </w:tabs>
        <w:ind w:left="3120" w:hanging="360"/>
      </w:pPr>
      <w:rPr>
        <w:rFonts w:ascii="Courier New" w:hAnsi="Courier New" w:cs="Courier New" w:hint="default"/>
      </w:rPr>
    </w:lvl>
    <w:lvl w:ilvl="8" w:tplc="04090005" w:tentative="1">
      <w:start w:val="1"/>
      <w:numFmt w:val="bullet"/>
      <w:lvlText w:val=""/>
      <w:lvlJc w:val="left"/>
      <w:pPr>
        <w:tabs>
          <w:tab w:val="num" w:pos="3840"/>
        </w:tabs>
        <w:ind w:left="3840" w:hanging="360"/>
      </w:pPr>
      <w:rPr>
        <w:rFonts w:ascii="Wingdings" w:hAnsi="Wingdings" w:hint="default"/>
      </w:rPr>
    </w:lvl>
  </w:abstractNum>
  <w:abstractNum w:abstractNumId="12" w15:restartNumberingAfterBreak="0">
    <w:nsid w:val="5A390ECF"/>
    <w:multiLevelType w:val="hybridMultilevel"/>
    <w:tmpl w:val="B9EC2288"/>
    <w:lvl w:ilvl="0" w:tplc="AA9A871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0E02D4"/>
    <w:multiLevelType w:val="hybridMultilevel"/>
    <w:tmpl w:val="6AA262F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F8465A"/>
    <w:multiLevelType w:val="hybridMultilevel"/>
    <w:tmpl w:val="502888AC"/>
    <w:lvl w:ilvl="0" w:tplc="4C40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9B7142"/>
    <w:multiLevelType w:val="hybridMultilevel"/>
    <w:tmpl w:val="5F18832A"/>
    <w:lvl w:ilvl="0" w:tplc="04090007">
      <w:start w:val="1"/>
      <w:numFmt w:val="bullet"/>
      <w:lvlText w:val=""/>
      <w:lvlJc w:val="left"/>
      <w:pPr>
        <w:tabs>
          <w:tab w:val="num" w:pos="720"/>
        </w:tabs>
        <w:ind w:left="720" w:hanging="360"/>
      </w:pPr>
      <w:rPr>
        <w:rFonts w:ascii="Symbol" w:hAnsi="Symbol" w:hint="default"/>
        <w:color w:val="auto"/>
      </w:rPr>
    </w:lvl>
    <w:lvl w:ilvl="1" w:tplc="04090007">
      <w:start w:val="1"/>
      <w:numFmt w:val="bullet"/>
      <w:lvlText w:val=""/>
      <w:lvlJc w:val="left"/>
      <w:pPr>
        <w:tabs>
          <w:tab w:val="num" w:pos="-840"/>
        </w:tabs>
        <w:ind w:left="-840" w:hanging="360"/>
      </w:pPr>
      <w:rPr>
        <w:rFonts w:ascii="Symbol" w:hAnsi="Symbol" w:hint="default"/>
        <w:color w:val="auto"/>
      </w:rPr>
    </w:lvl>
    <w:lvl w:ilvl="2" w:tplc="04090005" w:tentative="1">
      <w:start w:val="1"/>
      <w:numFmt w:val="bullet"/>
      <w:lvlText w:val=""/>
      <w:lvlJc w:val="left"/>
      <w:pPr>
        <w:tabs>
          <w:tab w:val="num" w:pos="-120"/>
        </w:tabs>
        <w:ind w:left="-120" w:hanging="360"/>
      </w:pPr>
      <w:rPr>
        <w:rFonts w:ascii="Wingdings" w:hAnsi="Wingdings" w:hint="default"/>
      </w:rPr>
    </w:lvl>
    <w:lvl w:ilvl="3" w:tplc="04090001" w:tentative="1">
      <w:start w:val="1"/>
      <w:numFmt w:val="bullet"/>
      <w:lvlText w:val=""/>
      <w:lvlJc w:val="left"/>
      <w:pPr>
        <w:tabs>
          <w:tab w:val="num" w:pos="600"/>
        </w:tabs>
        <w:ind w:left="600" w:hanging="360"/>
      </w:pPr>
      <w:rPr>
        <w:rFonts w:ascii="Symbol" w:hAnsi="Symbol" w:hint="default"/>
      </w:rPr>
    </w:lvl>
    <w:lvl w:ilvl="4" w:tplc="04090003" w:tentative="1">
      <w:start w:val="1"/>
      <w:numFmt w:val="bullet"/>
      <w:lvlText w:val="o"/>
      <w:lvlJc w:val="left"/>
      <w:pPr>
        <w:tabs>
          <w:tab w:val="num" w:pos="1320"/>
        </w:tabs>
        <w:ind w:left="1320" w:hanging="360"/>
      </w:pPr>
      <w:rPr>
        <w:rFonts w:ascii="Courier New" w:hAnsi="Courier New" w:cs="Courier New" w:hint="default"/>
      </w:rPr>
    </w:lvl>
    <w:lvl w:ilvl="5" w:tplc="04090005" w:tentative="1">
      <w:start w:val="1"/>
      <w:numFmt w:val="bullet"/>
      <w:lvlText w:val=""/>
      <w:lvlJc w:val="left"/>
      <w:pPr>
        <w:tabs>
          <w:tab w:val="num" w:pos="2040"/>
        </w:tabs>
        <w:ind w:left="2040" w:hanging="360"/>
      </w:pPr>
      <w:rPr>
        <w:rFonts w:ascii="Wingdings" w:hAnsi="Wingdings" w:hint="default"/>
      </w:rPr>
    </w:lvl>
    <w:lvl w:ilvl="6" w:tplc="04090001" w:tentative="1">
      <w:start w:val="1"/>
      <w:numFmt w:val="bullet"/>
      <w:lvlText w:val=""/>
      <w:lvlJc w:val="left"/>
      <w:pPr>
        <w:tabs>
          <w:tab w:val="num" w:pos="2760"/>
        </w:tabs>
        <w:ind w:left="2760" w:hanging="360"/>
      </w:pPr>
      <w:rPr>
        <w:rFonts w:ascii="Symbol" w:hAnsi="Symbol" w:hint="default"/>
      </w:rPr>
    </w:lvl>
    <w:lvl w:ilvl="7" w:tplc="04090003" w:tentative="1">
      <w:start w:val="1"/>
      <w:numFmt w:val="bullet"/>
      <w:lvlText w:val="o"/>
      <w:lvlJc w:val="left"/>
      <w:pPr>
        <w:tabs>
          <w:tab w:val="num" w:pos="3480"/>
        </w:tabs>
        <w:ind w:left="3480" w:hanging="360"/>
      </w:pPr>
      <w:rPr>
        <w:rFonts w:ascii="Courier New" w:hAnsi="Courier New" w:cs="Courier New" w:hint="default"/>
      </w:rPr>
    </w:lvl>
    <w:lvl w:ilvl="8" w:tplc="04090005" w:tentative="1">
      <w:start w:val="1"/>
      <w:numFmt w:val="bullet"/>
      <w:lvlText w:val=""/>
      <w:lvlJc w:val="left"/>
      <w:pPr>
        <w:tabs>
          <w:tab w:val="num" w:pos="4200"/>
        </w:tabs>
        <w:ind w:left="4200" w:hanging="360"/>
      </w:pPr>
      <w:rPr>
        <w:rFonts w:ascii="Wingdings" w:hAnsi="Wingdings" w:hint="default"/>
      </w:rPr>
    </w:lvl>
  </w:abstractNum>
  <w:abstractNum w:abstractNumId="16" w15:restartNumberingAfterBreak="0">
    <w:nsid w:val="78B9248A"/>
    <w:multiLevelType w:val="hybridMultilevel"/>
    <w:tmpl w:val="F472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A740B"/>
    <w:multiLevelType w:val="hybridMultilevel"/>
    <w:tmpl w:val="77C4136C"/>
    <w:lvl w:ilvl="0" w:tplc="5C3001FE">
      <w:start w:val="1"/>
      <w:numFmt w:val="decimal"/>
      <w:lvlText w:val="%1."/>
      <w:lvlJc w:val="left"/>
      <w:pPr>
        <w:ind w:left="720" w:hanging="360"/>
      </w:pPr>
      <w:rPr>
        <w:rFonts w:hint="default"/>
        <w:sz w:val="21"/>
        <w:szCs w:val="21"/>
      </w:rPr>
    </w:lvl>
    <w:lvl w:ilvl="1" w:tplc="9550A170">
      <w:start w:val="1"/>
      <w:numFmt w:val="lowerLetter"/>
      <w:lvlText w:val="%2."/>
      <w:lvlJc w:val="left"/>
      <w:pPr>
        <w:ind w:left="1440" w:hanging="360"/>
      </w:pPr>
      <w:rPr>
        <w:rFont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575F4"/>
    <w:multiLevelType w:val="hybridMultilevel"/>
    <w:tmpl w:val="DC067244"/>
    <w:lvl w:ilvl="0" w:tplc="55A068C0">
      <w:start w:val="1"/>
      <w:numFmt w:val="bullet"/>
      <w:lvlText w:val=""/>
      <w:lvlJc w:val="left"/>
      <w:pPr>
        <w:tabs>
          <w:tab w:val="num" w:pos="3000"/>
        </w:tabs>
        <w:ind w:left="30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1"/>
  </w:num>
  <w:num w:numId="4">
    <w:abstractNumId w:val="2"/>
  </w:num>
  <w:num w:numId="5">
    <w:abstractNumId w:val="15"/>
  </w:num>
  <w:num w:numId="6">
    <w:abstractNumId w:val="14"/>
  </w:num>
  <w:num w:numId="7">
    <w:abstractNumId w:val="6"/>
  </w:num>
  <w:num w:numId="8">
    <w:abstractNumId w:val="7"/>
  </w:num>
  <w:num w:numId="9">
    <w:abstractNumId w:val="5"/>
  </w:num>
  <w:num w:numId="10">
    <w:abstractNumId w:val="0"/>
  </w:num>
  <w:num w:numId="11">
    <w:abstractNumId w:val="12"/>
  </w:num>
  <w:num w:numId="12">
    <w:abstractNumId w:val="13"/>
  </w:num>
  <w:num w:numId="13">
    <w:abstractNumId w:val="8"/>
  </w:num>
  <w:num w:numId="14">
    <w:abstractNumId w:val="10"/>
  </w:num>
  <w:num w:numId="15">
    <w:abstractNumId w:val="9"/>
  </w:num>
  <w:num w:numId="16">
    <w:abstractNumId w:val="16"/>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tzC0MLY0NTAyNLBQ0lEKTi0uzszPAykwrAUANVrj2ywAAAA="/>
  </w:docVars>
  <w:rsids>
    <w:rsidRoot w:val="003C1FC2"/>
    <w:rsid w:val="00013F82"/>
    <w:rsid w:val="00054980"/>
    <w:rsid w:val="000733AE"/>
    <w:rsid w:val="000A37F9"/>
    <w:rsid w:val="000E3E14"/>
    <w:rsid w:val="001405CA"/>
    <w:rsid w:val="001823EC"/>
    <w:rsid w:val="001B36F9"/>
    <w:rsid w:val="001D39D4"/>
    <w:rsid w:val="001E3DC6"/>
    <w:rsid w:val="00226A89"/>
    <w:rsid w:val="00234D4E"/>
    <w:rsid w:val="00243A1C"/>
    <w:rsid w:val="002763A3"/>
    <w:rsid w:val="002B4014"/>
    <w:rsid w:val="002B4778"/>
    <w:rsid w:val="002B5E3A"/>
    <w:rsid w:val="00347481"/>
    <w:rsid w:val="003522B4"/>
    <w:rsid w:val="00356D02"/>
    <w:rsid w:val="0036723A"/>
    <w:rsid w:val="003875F7"/>
    <w:rsid w:val="00393E91"/>
    <w:rsid w:val="003C1FC2"/>
    <w:rsid w:val="004072DC"/>
    <w:rsid w:val="00431BC1"/>
    <w:rsid w:val="00431BD5"/>
    <w:rsid w:val="00447A10"/>
    <w:rsid w:val="004555FE"/>
    <w:rsid w:val="00481497"/>
    <w:rsid w:val="00482D5F"/>
    <w:rsid w:val="00487795"/>
    <w:rsid w:val="004C6165"/>
    <w:rsid w:val="004D12EF"/>
    <w:rsid w:val="004D400E"/>
    <w:rsid w:val="0050291B"/>
    <w:rsid w:val="00511B47"/>
    <w:rsid w:val="00556578"/>
    <w:rsid w:val="00561D24"/>
    <w:rsid w:val="005741F0"/>
    <w:rsid w:val="005A25B8"/>
    <w:rsid w:val="005A2CF3"/>
    <w:rsid w:val="005A3C4C"/>
    <w:rsid w:val="005C54ED"/>
    <w:rsid w:val="005F6304"/>
    <w:rsid w:val="00622EE9"/>
    <w:rsid w:val="00642C9C"/>
    <w:rsid w:val="00670002"/>
    <w:rsid w:val="00674F3D"/>
    <w:rsid w:val="006755A0"/>
    <w:rsid w:val="00680285"/>
    <w:rsid w:val="006B1BCF"/>
    <w:rsid w:val="006C11B0"/>
    <w:rsid w:val="006C593E"/>
    <w:rsid w:val="006E0058"/>
    <w:rsid w:val="007021B8"/>
    <w:rsid w:val="007231C3"/>
    <w:rsid w:val="00724DF4"/>
    <w:rsid w:val="00736A77"/>
    <w:rsid w:val="0073767E"/>
    <w:rsid w:val="007510E3"/>
    <w:rsid w:val="00755419"/>
    <w:rsid w:val="00755988"/>
    <w:rsid w:val="00757A9A"/>
    <w:rsid w:val="00794B5D"/>
    <w:rsid w:val="007F1AAA"/>
    <w:rsid w:val="00800B12"/>
    <w:rsid w:val="0083795C"/>
    <w:rsid w:val="00871698"/>
    <w:rsid w:val="00874EF1"/>
    <w:rsid w:val="008B55B5"/>
    <w:rsid w:val="008C30A6"/>
    <w:rsid w:val="008E4523"/>
    <w:rsid w:val="008F1F14"/>
    <w:rsid w:val="00934D65"/>
    <w:rsid w:val="00960972"/>
    <w:rsid w:val="009674EE"/>
    <w:rsid w:val="00973057"/>
    <w:rsid w:val="009A142A"/>
    <w:rsid w:val="009B27C4"/>
    <w:rsid w:val="009B5AF3"/>
    <w:rsid w:val="009B6BC9"/>
    <w:rsid w:val="009D1928"/>
    <w:rsid w:val="009E0341"/>
    <w:rsid w:val="009E2F66"/>
    <w:rsid w:val="009E4DBC"/>
    <w:rsid w:val="009F03B7"/>
    <w:rsid w:val="00A207AF"/>
    <w:rsid w:val="00A42F22"/>
    <w:rsid w:val="00A46143"/>
    <w:rsid w:val="00A529DA"/>
    <w:rsid w:val="00A71186"/>
    <w:rsid w:val="00A84C63"/>
    <w:rsid w:val="00AD7E5F"/>
    <w:rsid w:val="00AE1824"/>
    <w:rsid w:val="00AF4735"/>
    <w:rsid w:val="00B02244"/>
    <w:rsid w:val="00B05525"/>
    <w:rsid w:val="00B10586"/>
    <w:rsid w:val="00B16B2E"/>
    <w:rsid w:val="00B621F2"/>
    <w:rsid w:val="00B71322"/>
    <w:rsid w:val="00B76EB9"/>
    <w:rsid w:val="00B90D4B"/>
    <w:rsid w:val="00B979BC"/>
    <w:rsid w:val="00BA0DF5"/>
    <w:rsid w:val="00BB1E8E"/>
    <w:rsid w:val="00C201C1"/>
    <w:rsid w:val="00C24577"/>
    <w:rsid w:val="00CA6EA5"/>
    <w:rsid w:val="00CB539A"/>
    <w:rsid w:val="00CB6798"/>
    <w:rsid w:val="00CC7CF6"/>
    <w:rsid w:val="00CD47C7"/>
    <w:rsid w:val="00CF3A41"/>
    <w:rsid w:val="00D3275E"/>
    <w:rsid w:val="00D812C3"/>
    <w:rsid w:val="00D81D8A"/>
    <w:rsid w:val="00D86265"/>
    <w:rsid w:val="00D93419"/>
    <w:rsid w:val="00DB5BF7"/>
    <w:rsid w:val="00DF065E"/>
    <w:rsid w:val="00DF6E22"/>
    <w:rsid w:val="00E035E2"/>
    <w:rsid w:val="00E15885"/>
    <w:rsid w:val="00E16393"/>
    <w:rsid w:val="00E16761"/>
    <w:rsid w:val="00E209F4"/>
    <w:rsid w:val="00E25832"/>
    <w:rsid w:val="00E61C6A"/>
    <w:rsid w:val="00E90524"/>
    <w:rsid w:val="00EA7753"/>
    <w:rsid w:val="00EB1E08"/>
    <w:rsid w:val="00ED47C6"/>
    <w:rsid w:val="00F226DC"/>
    <w:rsid w:val="00F30B48"/>
    <w:rsid w:val="00F520DF"/>
    <w:rsid w:val="00F700DB"/>
    <w:rsid w:val="00FB5292"/>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86E84B4"/>
  <w15:docId w15:val="{65ECB071-3774-4644-9ED2-61294CA7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F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D8A"/>
    <w:pPr>
      <w:tabs>
        <w:tab w:val="center" w:pos="4320"/>
        <w:tab w:val="right" w:pos="8640"/>
      </w:tabs>
    </w:pPr>
  </w:style>
  <w:style w:type="paragraph" w:styleId="Footer">
    <w:name w:val="footer"/>
    <w:basedOn w:val="Normal"/>
    <w:link w:val="FooterChar"/>
    <w:uiPriority w:val="99"/>
    <w:rsid w:val="00D81D8A"/>
    <w:pPr>
      <w:tabs>
        <w:tab w:val="center" w:pos="4320"/>
        <w:tab w:val="right" w:pos="8640"/>
      </w:tabs>
    </w:pPr>
  </w:style>
  <w:style w:type="character" w:styleId="Hyperlink">
    <w:name w:val="Hyperlink"/>
    <w:rsid w:val="008E4523"/>
    <w:rPr>
      <w:color w:val="0000FF"/>
      <w:u w:val="single"/>
    </w:rPr>
  </w:style>
  <w:style w:type="table" w:styleId="TableGrid">
    <w:name w:val="Table Grid"/>
    <w:basedOn w:val="TableNormal"/>
    <w:rsid w:val="00F3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BC1"/>
    <w:pPr>
      <w:ind w:left="720"/>
    </w:pPr>
  </w:style>
  <w:style w:type="paragraph" w:styleId="BalloonText">
    <w:name w:val="Balloon Text"/>
    <w:basedOn w:val="Normal"/>
    <w:link w:val="BalloonTextChar"/>
    <w:rsid w:val="001823EC"/>
    <w:rPr>
      <w:rFonts w:ascii="Tahoma" w:hAnsi="Tahoma" w:cs="Tahoma"/>
      <w:sz w:val="16"/>
      <w:szCs w:val="16"/>
    </w:rPr>
  </w:style>
  <w:style w:type="character" w:customStyle="1" w:styleId="BalloonTextChar">
    <w:name w:val="Balloon Text Char"/>
    <w:link w:val="BalloonText"/>
    <w:rsid w:val="001823EC"/>
    <w:rPr>
      <w:rFonts w:ascii="Tahoma" w:hAnsi="Tahoma" w:cs="Tahoma"/>
      <w:sz w:val="16"/>
      <w:szCs w:val="16"/>
    </w:rPr>
  </w:style>
  <w:style w:type="character" w:styleId="FollowedHyperlink">
    <w:name w:val="FollowedHyperlink"/>
    <w:rsid w:val="00CB6798"/>
    <w:rPr>
      <w:color w:val="800080"/>
      <w:u w:val="single"/>
    </w:rPr>
  </w:style>
  <w:style w:type="paragraph" w:customStyle="1" w:styleId="Default">
    <w:name w:val="Default"/>
    <w:rsid w:val="00CB6798"/>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61C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0741">
      <w:bodyDiv w:val="1"/>
      <w:marLeft w:val="0"/>
      <w:marRight w:val="0"/>
      <w:marTop w:val="0"/>
      <w:marBottom w:val="0"/>
      <w:divBdr>
        <w:top w:val="none" w:sz="0" w:space="0" w:color="auto"/>
        <w:left w:val="none" w:sz="0" w:space="0" w:color="auto"/>
        <w:bottom w:val="none" w:sz="0" w:space="0" w:color="auto"/>
        <w:right w:val="none" w:sz="0" w:space="0" w:color="auto"/>
      </w:divBdr>
    </w:div>
    <w:div w:id="17822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illinoisstate.edu/downloads/PERS95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r.illinoisstate.edu/downloads/Labor_Contract_NT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illinoisstate.edu/downloads/PERS95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r.illinoisstate.edu/downloads/PERS954.pdf" TargetMode="External"/><Relationship Id="rId4" Type="http://schemas.openxmlformats.org/officeDocument/2006/relationships/webSettings" Target="webSettings.xml"/><Relationship Id="rId9" Type="http://schemas.openxmlformats.org/officeDocument/2006/relationships/hyperlink" Target="http://hr.illinoisstate.edu/downloads/Non_Tenure_Track_Faculty_Self_Assessment_Tool.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1324</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The provost or designee shall assure that each department has in place written procedures for evaluating eligible non-tenure track faculty performance on a regular schedule</vt:lpstr>
    </vt:vector>
  </TitlesOfParts>
  <Company>Illinois State University</Company>
  <LinksUpToDate>false</LinksUpToDate>
  <CharactersWithSpaces>9042</CharactersWithSpaces>
  <SharedDoc>false</SharedDoc>
  <HLinks>
    <vt:vector size="48" baseType="variant">
      <vt:variant>
        <vt:i4>6094861</vt:i4>
      </vt:variant>
      <vt:variant>
        <vt:i4>21</vt:i4>
      </vt:variant>
      <vt:variant>
        <vt:i4>0</vt:i4>
      </vt:variant>
      <vt:variant>
        <vt:i4>5</vt:i4>
      </vt:variant>
      <vt:variant>
        <vt:lpwstr>http://hr.illinoisstate.edu/downloads/PERS955.pdf</vt:lpwstr>
      </vt:variant>
      <vt:variant>
        <vt:lpwstr/>
      </vt:variant>
      <vt:variant>
        <vt:i4>5046287</vt:i4>
      </vt:variant>
      <vt:variant>
        <vt:i4>18</vt:i4>
      </vt:variant>
      <vt:variant>
        <vt:i4>0</vt:i4>
      </vt:variant>
      <vt:variant>
        <vt:i4>5</vt:i4>
      </vt:variant>
      <vt:variant>
        <vt:lpwstr>http://hr.illinoisstate.edu/downloads/PERS955.rtf</vt:lpwstr>
      </vt:variant>
      <vt:variant>
        <vt:lpwstr/>
      </vt:variant>
      <vt:variant>
        <vt:i4>6094860</vt:i4>
      </vt:variant>
      <vt:variant>
        <vt:i4>15</vt:i4>
      </vt:variant>
      <vt:variant>
        <vt:i4>0</vt:i4>
      </vt:variant>
      <vt:variant>
        <vt:i4>5</vt:i4>
      </vt:variant>
      <vt:variant>
        <vt:lpwstr>http://hr.illinoisstate.edu/downloads/PERS954.pdf</vt:lpwstr>
      </vt:variant>
      <vt:variant>
        <vt:lpwstr/>
      </vt:variant>
      <vt:variant>
        <vt:i4>5046286</vt:i4>
      </vt:variant>
      <vt:variant>
        <vt:i4>12</vt:i4>
      </vt:variant>
      <vt:variant>
        <vt:i4>0</vt:i4>
      </vt:variant>
      <vt:variant>
        <vt:i4>5</vt:i4>
      </vt:variant>
      <vt:variant>
        <vt:lpwstr>http://hr.illinoisstate.edu/downloads/PERS954.rtf</vt:lpwstr>
      </vt:variant>
      <vt:variant>
        <vt:lpwstr/>
      </vt:variant>
      <vt:variant>
        <vt:i4>7405676</vt:i4>
      </vt:variant>
      <vt:variant>
        <vt:i4>9</vt:i4>
      </vt:variant>
      <vt:variant>
        <vt:i4>0</vt:i4>
      </vt:variant>
      <vt:variant>
        <vt:i4>5</vt:i4>
      </vt:variant>
      <vt:variant>
        <vt:lpwstr>http://hr.illinoisstate.edu/downloads/Non_Tenure_Track_Faculty_Self_Assessment_Tool.doc</vt:lpwstr>
      </vt:variant>
      <vt:variant>
        <vt:lpwstr/>
      </vt:variant>
      <vt:variant>
        <vt:i4>5046281</vt:i4>
      </vt:variant>
      <vt:variant>
        <vt:i4>6</vt:i4>
      </vt:variant>
      <vt:variant>
        <vt:i4>0</vt:i4>
      </vt:variant>
      <vt:variant>
        <vt:i4>5</vt:i4>
      </vt:variant>
      <vt:variant>
        <vt:lpwstr>http://hr.illinoisstate.edu/downloads/PERS953.rtf</vt:lpwstr>
      </vt:variant>
      <vt:variant>
        <vt:lpwstr/>
      </vt:variant>
      <vt:variant>
        <vt:i4>6094859</vt:i4>
      </vt:variant>
      <vt:variant>
        <vt:i4>3</vt:i4>
      </vt:variant>
      <vt:variant>
        <vt:i4>0</vt:i4>
      </vt:variant>
      <vt:variant>
        <vt:i4>5</vt:i4>
      </vt:variant>
      <vt:variant>
        <vt:lpwstr>http://hr.illinoisstate.edu/downloads/PERS953.pdf</vt:lpwstr>
      </vt:variant>
      <vt:variant>
        <vt:lpwstr/>
      </vt:variant>
      <vt:variant>
        <vt:i4>6750322</vt:i4>
      </vt:variant>
      <vt:variant>
        <vt:i4>0</vt:i4>
      </vt:variant>
      <vt:variant>
        <vt:i4>0</vt:i4>
      </vt:variant>
      <vt:variant>
        <vt:i4>5</vt:i4>
      </vt:variant>
      <vt:variant>
        <vt:lpwstr>http://hr.illinoisstate.edu/downloads/Labor_Contract_NTT.pdf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provost or designee shall assure that each department has in place written procedures for evaluating eligible non-tenure track faculty performance on a regular schedule</dc:title>
  <dc:creator>mschaaf</dc:creator>
  <cp:lastModifiedBy>Marquez, Lexi</cp:lastModifiedBy>
  <cp:revision>2</cp:revision>
  <cp:lastPrinted>2013-02-04T15:38:00Z</cp:lastPrinted>
  <dcterms:created xsi:type="dcterms:W3CDTF">2022-10-19T18:40:00Z</dcterms:created>
  <dcterms:modified xsi:type="dcterms:W3CDTF">2022-10-19T18:40:00Z</dcterms:modified>
</cp:coreProperties>
</file>